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Arial" w:cs="Arial" w:eastAsia="Arial" w:hAnsi="Arial"/>
          <w:b/>
          <w:bCs/>
          <w:color w:val="1A2230"/>
          <w:sz w:val="40"/>
          <w:szCs w:val="40"/>
        </w:rPr>
        <w:t xml:space="preserve">NOTE DE SERVICE</w:t>
      </w:r>
    </w:p>
    <w:p>
      <w:pPr>
        <w:spacing w:after="220"/>
      </w:pPr>
      <w:r>
        <w:rPr>
          <w:rFonts w:ascii="Arial" w:cs="Arial" w:eastAsia="Arial" w:hAnsi="Arial"/>
          <w:color w:val="1E7A46"/>
          <w:sz w:val="24"/>
          <w:szCs w:val="24"/>
        </w:rPr>
        <w:t xml:space="preserve">Cadre de fonctionnement — équipe logistique</w:t>
      </w:r>
    </w:p>
    <w:tbl>
      <w:tblPr>
        <w:tblW w:type="dxa" w:w="9400"/>
        <w:tblBorders>
          <w:top w:val="single" w:color="D8E2DA" w:sz="2"/>
          <w:left w:val="single" w:color="D8E2DA" w:sz="2"/>
          <w:bottom w:val="single" w:color="D8E2DA" w:sz="2"/>
          <w:right w:val="single" w:color="D8E2DA" w:sz="2"/>
          <w:insideH w:val="single" w:color="E6ECE8" w:sz="2"/>
          <w:insideV w:val="single" w:color="E6ECE8" w:sz="2"/>
        </w:tblBorders>
      </w:tblPr>
      <w:tblGrid>
        <w:gridCol w:w="2600"/>
        <w:gridCol w:w="6800"/>
      </w:tblGrid>
      <w:tr>
        <w:tc>
          <w:tcPr>
            <w:tcW w:type="dxa" w:w="2600"/>
            <w:shd w:fill="F1F5F2" w:val="clear"/>
            <w:tcMar>
              <w:top w:type="dxa" w:w="60"/>
              <w:left w:type="dxa" w:w="120"/>
              <w:bottom w:type="dxa" w:w="60"/>
              <w:right w:type="dxa" w:w="120"/>
            </w:tcMar>
          </w:tcPr>
          <w:p>
            <w:r>
              <w:rPr>
                <w:rFonts w:ascii="Arial" w:cs="Arial" w:eastAsia="Arial" w:hAnsi="Arial"/>
                <w:b/>
                <w:bCs/>
                <w:color w:val="1A2230"/>
                <w:sz w:val="19"/>
                <w:szCs w:val="19"/>
              </w:rPr>
              <w:t xml:space="preserve">Objet</w:t>
            </w:r>
          </w:p>
        </w:tc>
        <w:tc>
          <w:tcPr>
            <w:tcW w:type="dxa" w:w="6800"/>
            <w:tcMar>
              <w:top w:type="dxa" w:w="60"/>
              <w:left w:type="dxa" w:w="120"/>
              <w:bottom w:type="dxa" w:w="60"/>
              <w:right w:type="dxa" w:w="120"/>
            </w:tcMar>
          </w:tcPr>
          <w:p>
            <w:r>
              <w:rPr>
                <w:rFonts w:ascii="Arial" w:cs="Arial" w:eastAsia="Arial" w:hAnsi="Arial"/>
                <w:color w:val="1A2230"/>
                <w:sz w:val="19"/>
                <w:szCs w:val="19"/>
              </w:rPr>
              <w:t xml:space="preserve">Cadre de fonctionnement de l'équipe logistique — préparation &amp; livraison</w:t>
            </w:r>
          </w:p>
        </w:tc>
      </w:tr>
      <w:tr>
        <w:tc>
          <w:tcPr>
            <w:tcW w:type="dxa" w:w="2600"/>
            <w:shd w:fill="F1F5F2" w:val="clear"/>
            <w:tcMar>
              <w:top w:type="dxa" w:w="60"/>
              <w:left w:type="dxa" w:w="120"/>
              <w:bottom w:type="dxa" w:w="60"/>
              <w:right w:type="dxa" w:w="120"/>
            </w:tcMar>
          </w:tcPr>
          <w:p>
            <w:r>
              <w:rPr>
                <w:rFonts w:ascii="Arial" w:cs="Arial" w:eastAsia="Arial" w:hAnsi="Arial"/>
                <w:b/>
                <w:bCs/>
                <w:color w:val="1A2230"/>
                <w:sz w:val="19"/>
                <w:szCs w:val="19"/>
              </w:rPr>
              <w:t xml:space="preserve">Émetteur</w:t>
            </w:r>
          </w:p>
        </w:tc>
        <w:tc>
          <w:tcPr>
            <w:tcW w:type="dxa" w:w="6800"/>
            <w:tcMar>
              <w:top w:type="dxa" w:w="60"/>
              <w:left w:type="dxa" w:w="120"/>
              <w:bottom w:type="dxa" w:w="60"/>
              <w:right w:type="dxa" w:w="120"/>
            </w:tcMar>
          </w:tcPr>
          <w:p>
            <w:r>
              <w:rPr>
                <w:rFonts w:ascii="Arial" w:cs="Arial" w:eastAsia="Arial" w:hAnsi="Arial"/>
                <w:color w:val="1A2230"/>
                <w:sz w:val="19"/>
                <w:szCs w:val="19"/>
              </w:rPr>
              <w:t xml:space="preserve">Direction · Responsable des Opérations</w:t>
            </w:r>
          </w:p>
        </w:tc>
      </w:tr>
      <w:tr>
        <w:tc>
          <w:tcPr>
            <w:tcW w:type="dxa" w:w="2600"/>
            <w:shd w:fill="F1F5F2" w:val="clear"/>
            <w:tcMar>
              <w:top w:type="dxa" w:w="60"/>
              <w:left w:type="dxa" w:w="120"/>
              <w:bottom w:type="dxa" w:w="60"/>
              <w:right w:type="dxa" w:w="120"/>
            </w:tcMar>
          </w:tcPr>
          <w:p>
            <w:r>
              <w:rPr>
                <w:rFonts w:ascii="Arial" w:cs="Arial" w:eastAsia="Arial" w:hAnsi="Arial"/>
                <w:b/>
                <w:bCs/>
                <w:color w:val="1A2230"/>
                <w:sz w:val="19"/>
                <w:szCs w:val="19"/>
              </w:rPr>
              <w:t xml:space="preserve">Destinataires</w:t>
            </w:r>
          </w:p>
        </w:tc>
        <w:tc>
          <w:tcPr>
            <w:tcW w:type="dxa" w:w="6800"/>
            <w:tcMar>
              <w:top w:type="dxa" w:w="60"/>
              <w:left w:type="dxa" w:w="120"/>
              <w:bottom w:type="dxa" w:w="60"/>
              <w:right w:type="dxa" w:w="120"/>
            </w:tcMar>
          </w:tcPr>
          <w:p>
            <w:r>
              <w:rPr>
                <w:rFonts w:ascii="Arial" w:cs="Arial" w:eastAsia="Arial" w:hAnsi="Arial"/>
                <w:color w:val="1A2230"/>
                <w:sz w:val="19"/>
                <w:szCs w:val="19"/>
              </w:rPr>
              <w:t xml:space="preserve">Préparateurs de commande, livreurs, coordinateurs (tous sites : Marseille, Sophia, Montpellier)</w:t>
            </w:r>
          </w:p>
        </w:tc>
      </w:tr>
      <w:tr>
        <w:tc>
          <w:tcPr>
            <w:tcW w:type="dxa" w:w="2600"/>
            <w:shd w:fill="F1F5F2" w:val="clear"/>
            <w:tcMar>
              <w:top w:type="dxa" w:w="60"/>
              <w:left w:type="dxa" w:w="120"/>
              <w:bottom w:type="dxa" w:w="60"/>
              <w:right w:type="dxa" w:w="120"/>
            </w:tcMar>
          </w:tcPr>
          <w:p>
            <w:r>
              <w:rPr>
                <w:rFonts w:ascii="Arial" w:cs="Arial" w:eastAsia="Arial" w:hAnsi="Arial"/>
                <w:b/>
                <w:bCs/>
                <w:color w:val="1A2230"/>
                <w:sz w:val="19"/>
                <w:szCs w:val="19"/>
              </w:rPr>
              <w:t xml:space="preserve">Date de diffusion</w:t>
            </w:r>
          </w:p>
        </w:tc>
        <w:tc>
          <w:tcPr>
            <w:tcW w:type="dxa" w:w="6800"/>
            <w:tcMar>
              <w:top w:type="dxa" w:w="60"/>
              <w:left w:type="dxa" w:w="120"/>
              <w:bottom w:type="dxa" w:w="60"/>
              <w:right w:type="dxa" w:w="120"/>
            </w:tcMar>
          </w:tcPr>
          <w:p>
            <w:r>
              <w:rPr>
                <w:rFonts w:ascii="Arial" w:cs="Arial" w:eastAsia="Arial" w:hAnsi="Arial"/>
                <w:color w:val="1A2230"/>
                <w:sz w:val="19"/>
                <w:szCs w:val="19"/>
              </w:rPr>
              <w:t xml:space="preserve">__ / __ / 2026</w:t>
            </w:r>
          </w:p>
        </w:tc>
      </w:tr>
      <w:tr>
        <w:tc>
          <w:tcPr>
            <w:tcW w:type="dxa" w:w="2600"/>
            <w:shd w:fill="F1F5F2" w:val="clear"/>
            <w:tcMar>
              <w:top w:type="dxa" w:w="60"/>
              <w:left w:type="dxa" w:w="120"/>
              <w:bottom w:type="dxa" w:w="60"/>
              <w:right w:type="dxa" w:w="120"/>
            </w:tcMar>
          </w:tcPr>
          <w:p>
            <w:r>
              <w:rPr>
                <w:rFonts w:ascii="Arial" w:cs="Arial" w:eastAsia="Arial" w:hAnsi="Arial"/>
                <w:b/>
                <w:bCs/>
                <w:color w:val="1A2230"/>
                <w:sz w:val="19"/>
                <w:szCs w:val="19"/>
              </w:rPr>
              <w:t xml:space="preserve">Entrée en vigueur</w:t>
            </w:r>
          </w:p>
        </w:tc>
        <w:tc>
          <w:tcPr>
            <w:tcW w:type="dxa" w:w="6800"/>
            <w:tcMar>
              <w:top w:type="dxa" w:w="60"/>
              <w:left w:type="dxa" w:w="120"/>
              <w:bottom w:type="dxa" w:w="60"/>
              <w:right w:type="dxa" w:w="120"/>
            </w:tcMar>
          </w:tcPr>
          <w:p>
            <w:r>
              <w:rPr>
                <w:rFonts w:ascii="Arial" w:cs="Arial" w:eastAsia="Arial" w:hAnsi="Arial"/>
                <w:color w:val="1A2230"/>
                <w:sz w:val="19"/>
                <w:szCs w:val="19"/>
              </w:rPr>
              <w:t xml:space="preserve">__ / __ / 2026</w:t>
            </w:r>
          </w:p>
        </w:tc>
      </w:tr>
      <w:tr>
        <w:tc>
          <w:tcPr>
            <w:tcW w:type="dxa" w:w="2600"/>
            <w:shd w:fill="F1F5F2" w:val="clear"/>
            <w:tcMar>
              <w:top w:type="dxa" w:w="60"/>
              <w:left w:type="dxa" w:w="120"/>
              <w:bottom w:type="dxa" w:w="60"/>
              <w:right w:type="dxa" w:w="120"/>
            </w:tcMar>
          </w:tcPr>
          <w:p>
            <w:r>
              <w:rPr>
                <w:rFonts w:ascii="Arial" w:cs="Arial" w:eastAsia="Arial" w:hAnsi="Arial"/>
                <w:b/>
                <w:bCs/>
                <w:color w:val="1A2230"/>
                <w:sz w:val="19"/>
                <w:szCs w:val="19"/>
              </w:rPr>
              <w:t xml:space="preserve">Référence</w:t>
            </w:r>
          </w:p>
        </w:tc>
        <w:tc>
          <w:tcPr>
            <w:tcW w:type="dxa" w:w="6800"/>
            <w:tcMar>
              <w:top w:type="dxa" w:w="60"/>
              <w:left w:type="dxa" w:w="120"/>
              <w:bottom w:type="dxa" w:w="60"/>
              <w:right w:type="dxa" w:w="120"/>
            </w:tcMar>
          </w:tcPr>
          <w:p>
            <w:r>
              <w:rPr>
                <w:rFonts w:ascii="Arial" w:cs="Arial" w:eastAsia="Arial" w:hAnsi="Arial"/>
                <w:color w:val="1A2230"/>
                <w:sz w:val="19"/>
                <w:szCs w:val="19"/>
              </w:rPr>
              <w:t xml:space="preserve">Annexe au règlement intérieur — Note de service Logistique n° 2026-__</w:t>
            </w:r>
          </w:p>
        </w:tc>
      </w:tr>
    </w:tbl>
    <w:p>
      <w:pPr>
        <w:spacing w:after="120"/>
      </w:pPr>
    </w:p>
    <w:p>
      <w:pPr>
        <w:pBdr>
          <w:bottom w:val="single" w:color="D8E2DA" w:sz="6" w:space="4"/>
        </w:pBdr>
        <w:spacing w:after="120" w:before="260"/>
      </w:pPr>
      <w:r>
        <w:rPr>
          <w:rFonts w:ascii="Arial" w:cs="Arial" w:eastAsia="Arial" w:hAnsi="Arial"/>
          <w:b/>
          <w:bCs/>
          <w:color w:val="1E7A46"/>
          <w:sz w:val="26"/>
          <w:szCs w:val="26"/>
        </w:rPr>
        <w:t xml:space="preserve">Pourquoi cette note</w:t>
      </w:r>
    </w:p>
    <w:p>
      <w:pPr>
        <w:spacing w:after="120" w:line="276"/>
        <w:jc w:val="both"/>
      </w:pPr>
      <w:r>
        <w:rPr>
          <w:rFonts w:ascii="Arial" w:cs="Arial" w:eastAsia="Arial" w:hAnsi="Arial"/>
          <w:sz w:val="21"/>
          <w:szCs w:val="21"/>
        </w:rPr>
        <w:t xml:space="preserve">Le bon fonctionnement de Basil repose sur un engagement collectif : chaque heure de travail est une heure au service de la qualité livrée à nos bénéficiaires. Nous constatons aujourd'hui des écarts qui pèsent sur le service et, surtout, qui font peser la charge sur les mêmes personnes, celles qui compensent pour les autres. Cette note fixe des règles claires, identiques pour tous, afin que chacun sache ce qui est attendu et que l'équité soit rétablie. Elle s'applique à l'ensemble de l'équipe logistique, sur tous les sites, sans exception.</w:t>
      </w:r>
    </w:p>
    <w:p>
      <w:pPr>
        <w:pBdr>
          <w:bottom w:val="single" w:color="D8E2DA" w:sz="6" w:space="4"/>
        </w:pBdr>
        <w:spacing w:after="120" w:before="260"/>
      </w:pPr>
      <w:r>
        <w:rPr>
          <w:rFonts w:ascii="Arial" w:cs="Arial" w:eastAsia="Arial" w:hAnsi="Arial"/>
          <w:b/>
          <w:bCs/>
          <w:color w:val="1E7A46"/>
          <w:sz w:val="26"/>
          <w:szCs w:val="26"/>
        </w:rPr>
        <w:t xml:space="preserve">1. Temps de travail et badgeage (Combo)</w:t>
      </w:r>
    </w:p>
    <w:p>
      <w:pPr>
        <w:spacing w:after="120" w:line="276"/>
        <w:jc w:val="both"/>
      </w:pPr>
      <w:r>
        <w:rPr>
          <w:rFonts w:ascii="Arial" w:cs="Arial" w:eastAsia="Arial" w:hAnsi="Arial"/>
          <w:sz w:val="21"/>
          <w:szCs w:val="21"/>
        </w:rPr>
        <w:t xml:space="preserve">Le badgeage d'arrivée et de départ sur Combo est obligatoire pour tous. Les heures badgées correspondent à du temps de travail effectif : elles servent à réaliser les tâches prévues à l'emploi du temps (préparation, chargement, tournée, retour, nettoyage). Le temps passé sur site sans accomplir ces tâches n'est pas du temps de travail utile et n'a pas vocation à être badgé comme tel.</w:t>
      </w:r>
    </w:p>
    <w:p>
      <w:pPr>
        <w:pBdr>
          <w:bottom w:val="single" w:color="D8E2DA" w:sz="6" w:space="4"/>
        </w:pBdr>
        <w:spacing w:after="120" w:before="260"/>
      </w:pPr>
      <w:r>
        <w:rPr>
          <w:rFonts w:ascii="Arial" w:cs="Arial" w:eastAsia="Arial" w:hAnsi="Arial"/>
          <w:b/>
          <w:bCs/>
          <w:color w:val="1E7A46"/>
          <w:sz w:val="26"/>
          <w:szCs w:val="26"/>
        </w:rPr>
        <w:t xml:space="preserve">2. Fin de poste et départ anticipé</w:t>
      </w:r>
    </w:p>
    <w:p>
      <w:pPr>
        <w:spacing w:after="120" w:line="276"/>
        <w:jc w:val="both"/>
      </w:pPr>
      <w:r>
        <w:rPr>
          <w:rFonts w:ascii="Arial" w:cs="Arial" w:eastAsia="Arial" w:hAnsi="Arial"/>
          <w:sz w:val="21"/>
          <w:szCs w:val="21"/>
        </w:rPr>
        <w:t xml:space="preserve">Ce n'est pas au salarié de décider seul qu'il a terminé sa journée. </w:t>
      </w:r>
      <w:r>
        <w:rPr>
          <w:rFonts w:ascii="Arial" w:cs="Arial" w:eastAsia="Arial" w:hAnsi="Arial"/>
          <w:b/>
          <w:bCs/>
          <w:sz w:val="21"/>
          <w:szCs w:val="21"/>
        </w:rPr>
        <w:t xml:space="preserve">La fin des tâches et l'autorisation de partir relèvent du manager.</w:t>
      </w:r>
      <w:r>
        <w:rPr>
          <w:rFonts w:ascii="Arial" w:cs="Arial" w:eastAsia="Arial" w:hAnsi="Arial"/>
          <w:sz w:val="21"/>
          <w:szCs w:val="21"/>
        </w:rPr>
        <w:t xml:space="preserve"> Concrètement :</w:t>
      </w:r>
    </w:p>
    <w:p>
      <w:pPr>
        <w:pStyle w:val="ListParagraph"/>
        <w:numPr>
          <w:ilvl w:val="0"/>
          <w:numId w:val="2"/>
        </w:numPr>
        <w:spacing w:after="80" w:line="272"/>
        <w:jc w:val="both"/>
      </w:pPr>
      <w:r>
        <w:rPr>
          <w:rFonts w:ascii="Arial" w:cs="Arial" w:eastAsia="Arial" w:hAnsi="Arial"/>
          <w:sz w:val="21"/>
          <w:szCs w:val="21"/>
        </w:rPr>
        <w:t xml:space="preserve">Aucun départ ni débadgeage avant l'heure planifiée sans l'accord préalable d'un responsable.</w:t>
      </w:r>
    </w:p>
    <w:p>
      <w:pPr>
        <w:pStyle w:val="ListParagraph"/>
        <w:numPr>
          <w:ilvl w:val="0"/>
          <w:numId w:val="2"/>
        </w:numPr>
        <w:spacing w:after="80" w:line="272"/>
        <w:jc w:val="both"/>
      </w:pPr>
      <w:r>
        <w:rPr>
          <w:rFonts w:ascii="Arial" w:cs="Arial" w:eastAsia="Arial" w:hAnsi="Arial"/>
          <w:sz w:val="21"/>
          <w:szCs w:val="21"/>
        </w:rPr>
        <w:t xml:space="preserve">L'accord est donné par le </w:t>
      </w:r>
      <w:r>
        <w:rPr>
          <w:rFonts w:ascii="Arial" w:cs="Arial" w:eastAsia="Arial" w:hAnsi="Arial"/>
          <w:b/>
          <w:bCs/>
          <w:sz w:val="21"/>
          <w:szCs w:val="21"/>
        </w:rPr>
        <w:t xml:space="preserve">Coordinateur préparation (Christophe)</w:t>
      </w:r>
      <w:r>
        <w:rPr>
          <w:rFonts w:ascii="Arial" w:cs="Arial" w:eastAsia="Arial" w:hAnsi="Arial"/>
          <w:sz w:val="21"/>
          <w:szCs w:val="21"/>
        </w:rPr>
        <w:t xml:space="preserve"> pour la préparation, la </w:t>
      </w:r>
      <w:r>
        <w:rPr>
          <w:rFonts w:ascii="Arial" w:cs="Arial" w:eastAsia="Arial" w:hAnsi="Arial"/>
          <w:b/>
          <w:bCs/>
          <w:sz w:val="21"/>
          <w:szCs w:val="21"/>
        </w:rPr>
        <w:t xml:space="preserve">Coordinatrice logistique (Charlotte)</w:t>
      </w:r>
      <w:r>
        <w:rPr>
          <w:rFonts w:ascii="Arial" w:cs="Arial" w:eastAsia="Arial" w:hAnsi="Arial"/>
          <w:sz w:val="21"/>
          <w:szCs w:val="21"/>
        </w:rPr>
        <w:t xml:space="preserve"> pour la livraison — ou, à défaut, par leur hiérarchie (Thomas Le Saux, puis Brice / la Direction).</w:t>
      </w:r>
    </w:p>
    <w:p>
      <w:pPr>
        <w:pStyle w:val="ListParagraph"/>
        <w:numPr>
          <w:ilvl w:val="0"/>
          <w:numId w:val="2"/>
        </w:numPr>
        <w:spacing w:after="80" w:line="272"/>
        <w:jc w:val="both"/>
      </w:pPr>
      <w:r>
        <w:rPr>
          <w:rFonts w:ascii="Arial" w:cs="Arial" w:eastAsia="Arial" w:hAnsi="Arial"/>
          <w:sz w:val="21"/>
          <w:szCs w:val="21"/>
        </w:rPr>
        <w:t xml:space="preserve">Le responsable vérifie qu'il ne reste plus de tâche à réaliser (préparations en attente, nettoyage, contenants à récupérer, BL à classer) avant d'autoriser le départ.</w:t>
      </w:r>
    </w:p>
    <w:p>
      <w:pPr>
        <w:spacing w:after="120" w:line="276"/>
        <w:jc w:val="both"/>
      </w:pPr>
      <w:r>
        <w:rPr>
          <w:rFonts w:ascii="Arial" w:cs="Arial" w:eastAsia="Arial" w:hAnsi="Arial"/>
          <w:sz w:val="21"/>
          <w:szCs w:val="21"/>
        </w:rPr>
        <w:t xml:space="preserve">À l'inverse, si des tâches restent à faire, elles sont réalisées jusqu'à l'heure de fin prévue. Exemple concret à ne pas reproduire : un retour de tournée à 14h36 suivi d'un départ à 15h10 alors que le poste courait jusqu'à 15h30 et qu'une préparation était planifiée au retour — </w:t>
      </w:r>
      <w:r>
        <w:rPr>
          <w:rFonts w:ascii="Arial" w:cs="Arial" w:eastAsia="Arial" w:hAnsi="Arial"/>
          <w:b/>
          <w:bCs/>
          <w:sz w:val="21"/>
          <w:szCs w:val="21"/>
        </w:rPr>
        <w:t xml:space="preserve">ce temps doit être consacré aux tâches prévues.</w:t>
      </w:r>
    </w:p>
    <w:p>
      <w:pPr>
        <w:pBdr>
          <w:bottom w:val="single" w:color="D8E2DA" w:sz="6" w:space="4"/>
        </w:pBdr>
        <w:spacing w:after="120" w:before="260"/>
      </w:pPr>
      <w:r>
        <w:rPr>
          <w:rFonts w:ascii="Arial" w:cs="Arial" w:eastAsia="Arial" w:hAnsi="Arial"/>
          <w:b/>
          <w:bCs/>
          <w:color w:val="1E7A46"/>
          <w:sz w:val="26"/>
          <w:szCs w:val="26"/>
        </w:rPr>
        <w:t xml:space="preserve">3. Retards</w:t>
      </w:r>
    </w:p>
    <w:p>
      <w:pPr>
        <w:spacing w:after="120" w:line="276"/>
        <w:jc w:val="both"/>
      </w:pPr>
      <w:r>
        <w:rPr>
          <w:rFonts w:ascii="Arial" w:cs="Arial" w:eastAsia="Arial" w:hAnsi="Arial"/>
          <w:sz w:val="21"/>
          <w:szCs w:val="21"/>
        </w:rPr>
        <w:t xml:space="preserve">Tout retard supérieur à 10 minutes doit être signalé sur le canal Slack </w:t>
      </w:r>
      <w:r>
        <w:rPr>
          <w:rFonts w:ascii="Arial" w:cs="Arial" w:eastAsia="Arial" w:hAnsi="Arial"/>
          <w:b/>
          <w:bCs/>
          <w:sz w:val="21"/>
          <w:szCs w:val="21"/>
        </w:rPr>
        <w:t xml:space="preserve">RH LOG</w:t>
      </w:r>
      <w:r>
        <w:rPr>
          <w:rFonts w:ascii="Arial" w:cs="Arial" w:eastAsia="Arial" w:hAnsi="Arial"/>
          <w:sz w:val="21"/>
          <w:szCs w:val="21"/>
        </w:rPr>
        <w:t xml:space="preserve"> en mentionnant Charlotte, dès que le retard est constaté. L'objectif n'est pas de sanctionner mécaniquement, mais d'assurer la continuité du service (réattribution éventuelle d'une tournée, information du service client) et la traçabilité.</w:t>
      </w:r>
    </w:p>
    <w:p>
      <w:pPr>
        <w:pBdr>
          <w:bottom w:val="single" w:color="D8E2DA" w:sz="6" w:space="4"/>
        </w:pBdr>
        <w:spacing w:after="120" w:before="260"/>
      </w:pPr>
      <w:r>
        <w:rPr>
          <w:rFonts w:ascii="Arial" w:cs="Arial" w:eastAsia="Arial" w:hAnsi="Arial"/>
          <w:b/>
          <w:bCs/>
          <w:color w:val="1E7A46"/>
          <w:sz w:val="26"/>
          <w:szCs w:val="26"/>
        </w:rPr>
        <w:t xml:space="preserve">4. Échanges et discussions pendant les heures de planning</w:t>
      </w:r>
    </w:p>
    <w:p>
      <w:pPr>
        <w:spacing w:after="120" w:line="276"/>
        <w:jc w:val="both"/>
      </w:pPr>
      <w:r>
        <w:rPr>
          <w:rFonts w:ascii="Arial" w:cs="Arial" w:eastAsia="Arial" w:hAnsi="Arial"/>
          <w:sz w:val="21"/>
          <w:szCs w:val="21"/>
        </w:rPr>
        <w:t xml:space="preserve">Les heures de planning sont dédiées à la préparation et à la livraison. Les échanges informels et les demandes personnelles n'ont pas lieu dans les bureaux pendant ces heures. Toute personne souhaitant discuter d'un sujet le fait une fois son shift terminé : ce temps d'échange est alors le bienvenu et pourra être ajouté au compteur d'heures. Cette règle protège le temps de production, qui est le cœur de notre engagement client.</w:t>
      </w:r>
    </w:p>
    <w:p>
      <w:pPr>
        <w:pBdr>
          <w:bottom w:val="single" w:color="D8E2DA" w:sz="6" w:space="4"/>
        </w:pBdr>
        <w:spacing w:after="120" w:before="260"/>
      </w:pPr>
      <w:r>
        <w:rPr>
          <w:rFonts w:ascii="Arial" w:cs="Arial" w:eastAsia="Arial" w:hAnsi="Arial"/>
          <w:b/>
          <w:bCs/>
          <w:color w:val="1E7A46"/>
          <w:sz w:val="26"/>
          <w:szCs w:val="26"/>
        </w:rPr>
        <w:t xml:space="preserve">5. Temps de pause</w:t>
      </w:r>
    </w:p>
    <w:p>
      <w:pPr>
        <w:spacing w:after="120" w:line="276"/>
        <w:jc w:val="both"/>
      </w:pPr>
      <w:r>
        <w:rPr>
          <w:rFonts w:ascii="Arial" w:cs="Arial" w:eastAsia="Arial" w:hAnsi="Arial"/>
          <w:sz w:val="21"/>
          <w:szCs w:val="21"/>
        </w:rPr>
        <w:t xml:space="preserve">Les temps de pause sont désormais cadrés et attribués à </w:t>
      </w:r>
      <w:r>
        <w:rPr>
          <w:rFonts w:ascii="Arial" w:cs="Arial" w:eastAsia="Arial" w:hAnsi="Arial"/>
          <w:b/>
          <w:bCs/>
          <w:sz w:val="21"/>
          <w:szCs w:val="21"/>
        </w:rPr>
        <w:t xml:space="preserve">horaires fixes, décalés d'une personne à l'autre</w:t>
      </w:r>
      <w:r>
        <w:rPr>
          <w:rFonts w:ascii="Arial" w:cs="Arial" w:eastAsia="Arial" w:hAnsi="Arial"/>
          <w:sz w:val="21"/>
          <w:szCs w:val="21"/>
        </w:rPr>
        <w:t xml:space="preserve">, pour que tout le monde ne parte pas en pause en même temps et qu'il reste toujours quelqu'un sur les quais et en zone froide. Le créneau de chacun figure dans la grille de pauses annexée à cette note.</w:t>
      </w:r>
    </w:p>
    <w:p>
      <w:pPr>
        <w:pStyle w:val="ListParagraph"/>
        <w:numPr>
          <w:ilvl w:val="0"/>
          <w:numId w:val="2"/>
        </w:numPr>
        <w:spacing w:after="80" w:line="272"/>
        <w:jc w:val="both"/>
      </w:pPr>
      <w:r>
        <w:rPr>
          <w:rFonts w:ascii="Arial" w:cs="Arial" w:eastAsia="Arial" w:hAnsi="Arial"/>
          <w:sz w:val="21"/>
          <w:szCs w:val="21"/>
        </w:rPr>
        <w:t xml:space="preserve">Toute journée d'au moins 6 heures ouvre droit à une pause de 20 minutes consécutives (minimum légal, standard Basil pour la logistique).</w:t>
      </w:r>
    </w:p>
    <w:p>
      <w:pPr>
        <w:pStyle w:val="ListParagraph"/>
        <w:numPr>
          <w:ilvl w:val="0"/>
          <w:numId w:val="2"/>
        </w:numPr>
        <w:spacing w:after="80" w:line="272"/>
        <w:jc w:val="both"/>
      </w:pPr>
      <w:r>
        <w:rPr>
          <w:rFonts w:ascii="Arial" w:cs="Arial" w:eastAsia="Arial" w:hAnsi="Arial"/>
          <w:sz w:val="21"/>
          <w:szCs w:val="21"/>
        </w:rPr>
        <w:t xml:space="preserve">Livreurs : pause prise </w:t>
      </w:r>
      <w:r>
        <w:rPr>
          <w:rFonts w:ascii="Arial" w:cs="Arial" w:eastAsia="Arial" w:hAnsi="Arial"/>
          <w:b/>
          <w:bCs/>
          <w:sz w:val="21"/>
          <w:szCs w:val="21"/>
        </w:rPr>
        <w:t xml:space="preserve">au retour de tournée</w:t>
      </w:r>
      <w:r>
        <w:rPr>
          <w:rFonts w:ascii="Arial" w:cs="Arial" w:eastAsia="Arial" w:hAnsi="Arial"/>
          <w:sz w:val="21"/>
          <w:szCs w:val="21"/>
        </w:rPr>
        <w:t xml:space="preserve"> (jamais pendant la tournée). Préparation : pause à mi-poste, une fois une vague de sacs bouclée.</w:t>
      </w:r>
    </w:p>
    <w:p>
      <w:pPr>
        <w:pStyle w:val="ListParagraph"/>
        <w:numPr>
          <w:ilvl w:val="0"/>
          <w:numId w:val="2"/>
        </w:numPr>
        <w:spacing w:after="80" w:line="272"/>
        <w:jc w:val="both"/>
      </w:pPr>
      <w:r>
        <w:rPr>
          <w:rFonts w:ascii="Arial" w:cs="Arial" w:eastAsia="Arial" w:hAnsi="Arial"/>
          <w:sz w:val="21"/>
          <w:szCs w:val="21"/>
        </w:rPr>
        <w:t xml:space="preserve">La pause se prend sur le créneau attribué (voir grille de pauses), badgée sur Combo — début et fin — jamais avec des denrées hors chaîne du froid.</w:t>
      </w:r>
    </w:p>
    <w:p>
      <w:pPr>
        <w:pBdr>
          <w:bottom w:val="single" w:color="D8E2DA" w:sz="6" w:space="4"/>
        </w:pBdr>
        <w:spacing w:after="120" w:before="260"/>
      </w:pPr>
      <w:r>
        <w:rPr>
          <w:rFonts w:ascii="Arial" w:cs="Arial" w:eastAsia="Arial" w:hAnsi="Arial"/>
          <w:b/>
          <w:bCs/>
          <w:color w:val="1E7A46"/>
          <w:sz w:val="26"/>
          <w:szCs w:val="26"/>
        </w:rPr>
        <w:t xml:space="preserve">6. Téléphone personnel</w:t>
      </w:r>
    </w:p>
    <w:p>
      <w:pPr>
        <w:spacing w:after="120" w:line="276"/>
        <w:jc w:val="both"/>
      </w:pPr>
      <w:r>
        <w:rPr>
          <w:rFonts w:ascii="Arial" w:cs="Arial" w:eastAsia="Arial" w:hAnsi="Arial"/>
          <w:sz w:val="21"/>
          <w:szCs w:val="21"/>
        </w:rPr>
        <w:t xml:space="preserve">L'usage du téléphone personnel (appels, SMS, messageries, réseaux) pendant le temps de travail empiète directement sur la production et la sécurité, notamment au volant. Il est proscrit pendant les heures de travail, en dehors des pauses et des cas d'urgence. Le téléphone professionnel et l'application Fleet restent bien entendu utilisés dans le cadre des tournées.</w:t>
      </w:r>
    </w:p>
    <w:p>
      <w:pPr>
        <w:pBdr>
          <w:bottom w:val="single" w:color="D8E2DA" w:sz="6" w:space="4"/>
        </w:pBdr>
        <w:spacing w:after="120" w:before="260"/>
      </w:pPr>
      <w:r>
        <w:rPr>
          <w:rFonts w:ascii="Arial" w:cs="Arial" w:eastAsia="Arial" w:hAnsi="Arial"/>
          <w:b/>
          <w:bCs/>
          <w:color w:val="1E7A46"/>
          <w:sz w:val="26"/>
          <w:szCs w:val="26"/>
        </w:rPr>
        <w:t xml:space="preserve">7. Tenue et sécurité</w:t>
      </w:r>
    </w:p>
    <w:p>
      <w:pPr>
        <w:pStyle w:val="ListParagraph"/>
        <w:numPr>
          <w:ilvl w:val="0"/>
          <w:numId w:val="2"/>
        </w:numPr>
        <w:spacing w:after="80" w:line="272"/>
        <w:jc w:val="both"/>
      </w:pPr>
      <w:r>
        <w:rPr>
          <w:rFonts w:ascii="Arial" w:cs="Arial" w:eastAsia="Arial" w:hAnsi="Arial"/>
          <w:sz w:val="21"/>
          <w:szCs w:val="21"/>
        </w:rPr>
        <w:t xml:space="preserve">Tenue correcte et professionnelle exigée. </w:t>
      </w:r>
      <w:r>
        <w:rPr>
          <w:rFonts w:ascii="Arial" w:cs="Arial" w:eastAsia="Arial" w:hAnsi="Arial"/>
          <w:b/>
          <w:bCs/>
          <w:sz w:val="21"/>
          <w:szCs w:val="21"/>
        </w:rPr>
        <w:t xml:space="preserve">Les claquettes, tongs et chaussures ouvertes sont interdites</w:t>
      </w:r>
      <w:r>
        <w:rPr>
          <w:rFonts w:ascii="Arial" w:cs="Arial" w:eastAsia="Arial" w:hAnsi="Arial"/>
          <w:sz w:val="21"/>
          <w:szCs w:val="21"/>
        </w:rPr>
        <w:t xml:space="preserve"> (sécurité, manutention, hygiène alimentaire) : chaussures fermées adaptées obligatoires.</w:t>
      </w:r>
    </w:p>
    <w:p>
      <w:pPr>
        <w:pStyle w:val="ListParagraph"/>
        <w:numPr>
          <w:ilvl w:val="0"/>
          <w:numId w:val="2"/>
        </w:numPr>
        <w:spacing w:after="80" w:line="272"/>
        <w:jc w:val="both"/>
      </w:pPr>
      <w:r>
        <w:rPr>
          <w:rFonts w:ascii="Arial" w:cs="Arial" w:eastAsia="Arial" w:hAnsi="Arial"/>
          <w:sz w:val="21"/>
          <w:szCs w:val="21"/>
        </w:rPr>
        <w:t xml:space="preserve">Les tenues de sport / maillots de football ne sont pas admises en poste.</w:t>
      </w:r>
    </w:p>
    <w:p>
      <w:pPr>
        <w:pStyle w:val="ListParagraph"/>
        <w:numPr>
          <w:ilvl w:val="0"/>
          <w:numId w:val="2"/>
        </w:numPr>
        <w:spacing w:after="80" w:line="272"/>
        <w:jc w:val="both"/>
      </w:pPr>
      <w:r>
        <w:rPr>
          <w:rFonts w:ascii="Arial" w:cs="Arial" w:eastAsia="Arial" w:hAnsi="Arial"/>
          <w:sz w:val="21"/>
          <w:szCs w:val="21"/>
        </w:rPr>
        <w:t xml:space="preserve">Le </w:t>
      </w:r>
      <w:r>
        <w:rPr>
          <w:rFonts w:ascii="Arial" w:cs="Arial" w:eastAsia="Arial" w:hAnsi="Arial"/>
          <w:b/>
          <w:bCs/>
          <w:sz w:val="21"/>
          <w:szCs w:val="21"/>
        </w:rPr>
        <w:t xml:space="preserve">gilet est obligatoire pendant toute la durée de la tournée</w:t>
      </w:r>
      <w:r>
        <w:rPr>
          <w:rFonts w:ascii="Arial" w:cs="Arial" w:eastAsia="Arial" w:hAnsi="Arial"/>
          <w:sz w:val="21"/>
          <w:szCs w:val="21"/>
        </w:rPr>
        <w:t xml:space="preserve"> (non-négociable Basil n° 13 — sécurité et image).</w:t>
      </w:r>
    </w:p>
    <w:p>
      <w:pPr>
        <w:pBdr>
          <w:bottom w:val="single" w:color="D8E2DA" w:sz="6" w:space="4"/>
        </w:pBdr>
        <w:spacing w:after="120" w:before="260"/>
      </w:pPr>
      <w:r>
        <w:rPr>
          <w:rFonts w:ascii="Arial" w:cs="Arial" w:eastAsia="Arial" w:hAnsi="Arial"/>
          <w:b/>
          <w:bCs/>
          <w:color w:val="1E7A46"/>
          <w:sz w:val="26"/>
          <w:szCs w:val="26"/>
        </w:rPr>
        <w:t xml:space="preserve">8. Encadrement et autorité</w:t>
      </w:r>
    </w:p>
    <w:p>
      <w:pPr>
        <w:spacing w:after="120" w:line="276"/>
        <w:jc w:val="both"/>
      </w:pPr>
      <w:r>
        <w:rPr>
          <w:rFonts w:ascii="Arial" w:cs="Arial" w:eastAsia="Arial" w:hAnsi="Arial"/>
          <w:sz w:val="21"/>
          <w:szCs w:val="21"/>
        </w:rPr>
        <w:t xml:space="preserve">Pour faire vivre ces règles au quotidien, </w:t>
      </w:r>
      <w:r>
        <w:rPr>
          <w:rFonts w:ascii="Arial" w:cs="Arial" w:eastAsia="Arial" w:hAnsi="Arial"/>
          <w:b/>
          <w:bCs/>
          <w:sz w:val="21"/>
          <w:szCs w:val="21"/>
        </w:rPr>
        <w:t xml:space="preserve">Christophe est nommé Coordinateur préparation</w:t>
      </w:r>
      <w:r>
        <w:rPr>
          <w:rFonts w:ascii="Arial" w:cs="Arial" w:eastAsia="Arial" w:hAnsi="Arial"/>
          <w:sz w:val="21"/>
          <w:szCs w:val="21"/>
        </w:rPr>
        <w:t xml:space="preserve"> et </w:t>
      </w:r>
      <w:r>
        <w:rPr>
          <w:rFonts w:ascii="Arial" w:cs="Arial" w:eastAsia="Arial" w:hAnsi="Arial"/>
          <w:b/>
          <w:bCs/>
          <w:sz w:val="21"/>
          <w:szCs w:val="21"/>
        </w:rPr>
        <w:t xml:space="preserve">Charlotte Coordinatrice logistique</w:t>
      </w:r>
      <w:r>
        <w:rPr>
          <w:rFonts w:ascii="Arial" w:cs="Arial" w:eastAsia="Arial" w:hAnsi="Arial"/>
          <w:sz w:val="21"/>
          <w:szCs w:val="21"/>
        </w:rPr>
        <w:t xml:space="preserve">. Ils ont autorité pour organiser le travail, valider ou refuser les départs, veiller à la productivité des équipiers, contrôler le respect de ces règles et faire les rappels nécessaires. L'escalade suit la ligne hiérarchique : préparation → Christophe → Thomas Le Saux (responsable production &amp; préparation) → Brice (directeur des opérations) ; livraison → Charlotte → Brice ; puis la Direction. Leurs rôles respectifs sont détaillés dans les documents d'organisation dédiés.</w:t>
      </w:r>
    </w:p>
    <w:p>
      <w:pPr>
        <w:pBdr>
          <w:bottom w:val="single" w:color="D8E2DA" w:sz="6" w:space="4"/>
        </w:pBdr>
        <w:spacing w:after="120" w:before="260"/>
      </w:pPr>
      <w:r>
        <w:rPr>
          <w:rFonts w:ascii="Arial" w:cs="Arial" w:eastAsia="Arial" w:hAnsi="Arial"/>
          <w:b/>
          <w:bCs/>
          <w:color w:val="1E7A46"/>
          <w:sz w:val="26"/>
          <w:szCs w:val="26"/>
        </w:rPr>
        <w:t xml:space="preserve">9. Application</w:t>
      </w:r>
    </w:p>
    <w:p>
      <w:pPr>
        <w:spacing w:after="120" w:line="276"/>
        <w:jc w:val="both"/>
      </w:pPr>
      <w:r>
        <w:rPr>
          <w:rFonts w:ascii="Arial" w:cs="Arial" w:eastAsia="Arial" w:hAnsi="Arial"/>
          <w:sz w:val="21"/>
          <w:szCs w:val="21"/>
        </w:rPr>
        <w:t xml:space="preserve">Ces règles entrent en vigueur à la date indiquée ci-dessus. Elles sont affichées sur chaque site et rappelées en réunion d'équipe. Elles s'inscrivent dans le pouvoir d'organisation de l'employeur ; le non-respect répété pourra donner lieu aux mesures prévues par le règlement intérieur. Notre objectif reste simple et positif : une équipe où chacun tient sa place, où les efforts sont équitablement répartis, et où le temps de travail sert la qualité que nous devons à nos bénéficiaires.</w:t>
      </w:r>
    </w:p>
    <w:p>
      <w:pPr>
        <w:pBdr>
          <w:bottom w:val="single" w:color="D8E2DA" w:sz="6" w:space="4"/>
        </w:pBdr>
        <w:spacing w:after="120" w:before="260"/>
      </w:pPr>
      <w:r>
        <w:rPr>
          <w:rFonts w:ascii="Arial" w:cs="Arial" w:eastAsia="Arial" w:hAnsi="Arial"/>
          <w:b/>
          <w:bCs/>
          <w:color w:val="1E7A46"/>
          <w:sz w:val="26"/>
          <w:szCs w:val="26"/>
        </w:rPr>
        <w:t xml:space="preserve">Anti-gaspillage et partage</w:t>
      </w:r>
    </w:p>
    <w:p>
      <w:pPr>
        <w:spacing w:after="120" w:line="276"/>
        <w:jc w:val="both"/>
      </w:pPr>
      <w:r>
        <w:rPr>
          <w:rFonts w:ascii="Arial" w:cs="Arial" w:eastAsia="Arial" w:hAnsi="Arial"/>
          <w:sz w:val="21"/>
          <w:szCs w:val="21"/>
        </w:rPr>
        <w:t xml:space="preserve">Fidèles à notre raison d'être, </w:t>
      </w:r>
      <w:r>
        <w:rPr>
          <w:rFonts w:ascii="Arial" w:cs="Arial" w:eastAsia="Arial" w:hAnsi="Arial"/>
          <w:b/>
          <w:bCs/>
          <w:sz w:val="21"/>
          <w:szCs w:val="21"/>
        </w:rPr>
        <w:t xml:space="preserve">les denrées placées au frigo casse sont destinées aux associations</w:t>
      </w:r>
      <w:r>
        <w:rPr>
          <w:rFonts w:ascii="Arial" w:cs="Arial" w:eastAsia="Arial" w:hAnsi="Arial"/>
          <w:sz w:val="21"/>
          <w:szCs w:val="21"/>
        </w:rPr>
        <w:t xml:space="preserve"> : rien ne se perd, tout est partagé avec des personnes qui en ont besoin. Et bien sûr, </w:t>
      </w:r>
      <w:r>
        <w:rPr>
          <w:rFonts w:ascii="Arial" w:cs="Arial" w:eastAsia="Arial" w:hAnsi="Arial"/>
          <w:b/>
          <w:bCs/>
          <w:sz w:val="21"/>
          <w:szCs w:val="21"/>
        </w:rPr>
        <w:t xml:space="preserve">chacun est libre de récupérer le pain s'il le souhaite</w:t>
      </w:r>
      <w:r>
        <w:rPr>
          <w:rFonts w:ascii="Arial" w:cs="Arial" w:eastAsia="Arial" w:hAnsi="Arial"/>
          <w:sz w:val="21"/>
          <w:szCs w:val="21"/>
        </w:rPr>
        <w:t xml:space="preserve">. C'est aussi ça, l'esprit Basil.</w:t>
      </w:r>
    </w:p>
    <w:p>
      <w:pPr>
        <w:spacing w:after="60" w:before="260"/>
      </w:pPr>
      <w:r>
        <w:rPr>
          <w:rFonts w:ascii="Arial" w:cs="Arial" w:eastAsia="Arial" w:hAnsi="Arial"/>
          <w:color w:val="1A2230"/>
          <w:sz w:val="21"/>
          <w:szCs w:val="21"/>
        </w:rPr>
        <w:t xml:space="preserve">Fait à ______________________, le __ / __ / 2026</w:t>
      </w:r>
    </w:p>
    <w:p>
      <w:pPr>
        <w:spacing w:after="40"/>
      </w:pPr>
      <w:r>
        <w:rPr>
          <w:rFonts w:ascii="Arial" w:cs="Arial" w:eastAsia="Arial" w:hAnsi="Arial"/>
          <w:color w:val="1A2230"/>
          <w:sz w:val="21"/>
          <w:szCs w:val="21"/>
        </w:rPr>
        <w:t xml:space="preserve">Pour la Direction / le Responsable des Opérations :</w:t>
      </w:r>
    </w:p>
    <w:p>
      <w:pPr>
        <w:spacing w:after="240"/>
      </w:pPr>
      <w:r>
        <w:rPr>
          <w:rFonts w:ascii="Arial" w:cs="Arial" w:eastAsia="Arial" w:hAnsi="Arial"/>
          <w:color w:val="6A746E"/>
          <w:sz w:val="21"/>
          <w:szCs w:val="21"/>
        </w:rPr>
        <w:t xml:space="preserve">Nom, fonction et signature : ______________________________</w:t>
      </w:r>
    </w:p>
    <w:p>
      <w:pPr>
        <w:pBdr>
          <w:top w:val="single" w:color="1E7A46" w:sz="4"/>
          <w:bottom w:val="single" w:color="1E7A46" w:sz="4"/>
          <w:left w:val="single" w:color="1E7A46" w:sz="4"/>
          <w:right w:val="single" w:color="1E7A46" w:sz="4"/>
        </w:pBdr>
        <w:shd w:fill="F1F5F2" w:val="clear"/>
        <w:spacing w:after="120" w:before="120"/>
      </w:pPr>
      <w:r>
        <w:rPr>
          <w:rFonts w:ascii="Arial" w:cs="Arial" w:eastAsia="Arial" w:hAnsi="Arial"/>
          <w:b/>
          <w:bCs/>
          <w:color w:val="1A2230"/>
          <w:sz w:val="18"/>
          <w:szCs w:val="18"/>
        </w:rPr>
        <w:t xml:space="preserve">À valider avant diffusion : </w:t>
      </w:r>
      <w:r>
        <w:rPr>
          <w:rFonts w:ascii="Arial" w:cs="Arial" w:eastAsia="Arial" w:hAnsi="Arial"/>
          <w:color w:val="6A746E"/>
          <w:sz w:val="18"/>
          <w:szCs w:val="18"/>
        </w:rPr>
        <w:t xml:space="preserve">faire relire cette note par le référent droit du travail (Ingrid) / le cabinet social, notamment les points « pause payée ou non », « départ anticipé / compteur d'heures » et l'articulation avec le règlement intérieur et la convention collective (restauration de collectivités, IDCC 1266).</w:t>
      </w:r>
    </w:p>
    <w:sectPr>
      <w:headerReference w:type="default" r:id="rId7"/>
      <w:footerReference w:type="default" r:id="rId8"/>
      <w:pgSz w:w="11906" w:h="16838" w:orient="portrait"/>
      <w:pgMar w:top="1100" w:right="1200" w:bottom="11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6A746E"/>
        <w:sz w:val="15"/>
        <w:szCs w:val="15"/>
      </w:rPr>
      <w:t xml:space="preserve">Basil — Restauration collective &amp; portage de repas · Document interne · page </w:t>
    </w:r>
    <w:r>
      <w:rPr>
        <w:rFonts w:ascii="Arial" w:cs="Arial" w:eastAsia="Arial" w:hAnsi="Arial"/>
        <w:color w:val="6A746E"/>
        <w:sz w:val="15"/>
        <w:szCs w:val="15"/>
      </w:rPr>
      <w:fldChar w:fldCharType="begin"/>
      <w:instrText xml:space="preserve">PAGE</w:instrText>
      <w:fldChar w:fldCharType="separate"/>
      <w:fldChar w:fldCharType="end"/>
    </w:r>
    <w:r>
      <w:rPr>
        <w:rFonts w:ascii="Arial" w:cs="Arial" w:eastAsia="Arial" w:hAnsi="Arial"/>
        <w:color w:val="6A746E"/>
        <w:sz w:val="15"/>
        <w:szCs w:val="15"/>
      </w:rPr>
      <w:t xml:space="preserve"> / </w:t>
    </w:r>
    <w:r>
      <w:rPr>
        <w:rFonts w:ascii="Arial" w:cs="Arial" w:eastAsia="Arial" w:hAnsi="Arial"/>
        <w:color w:val="6A746E"/>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E7A46" w:sz="10" w:space="6"/>
      </w:pBdr>
      <w:tabs>
        <w:tab w:val="right" w:pos="9400"/>
      </w:tabs>
    </w:pPr>
    <w:r>
      <w:rPr>
        <w:rFonts w:ascii="Arial" w:cs="Arial" w:eastAsia="Arial" w:hAnsi="Arial"/>
        <w:b/>
        <w:bCs/>
        <w:color w:val="1E7A46"/>
        <w:sz w:val="22"/>
        <w:szCs w:val="22"/>
      </w:rPr>
      <w:t xml:space="preserve">BASIL</w:t>
    </w:r>
    <w:r>
      <w:rPr>
        <w:rFonts w:ascii="Arial" w:cs="Arial" w:eastAsia="Arial" w:hAnsi="Arial"/>
        <w:color w:val="6A746E"/>
        <w:sz w:val="17"/>
        <w:szCs w:val="17"/>
      </w:rPr>
      <w:t xml:space="preserve">	Note de service — Logistique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rPr>
        <w:color w:val="1E7A46"/>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2230"/>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2026-08-10T10:01:18.267Z</dcterms:created>
  <dcterms:modified xsi:type="dcterms:W3CDTF">2026-08-10T10:01:18.269Z</dcterms:modified>
</cp:coreProperties>
</file>

<file path=docProps/custom.xml><?xml version="1.0" encoding="utf-8"?>
<Properties xmlns="http://schemas.openxmlformats.org/officeDocument/2006/custom-properties" xmlns:vt="http://schemas.openxmlformats.org/officeDocument/2006/docPropsVTypes"/>
</file>