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400"/>
        <w:tblBorders>
          <w:top w:val="none"/>
          <w:left w:val="none"/>
          <w:bottom w:val="none"/>
          <w:right w:val="none"/>
          <w:insideH w:val="none"/>
          <w:insideV w:val="none"/>
        </w:tblBorders>
      </w:tblPr>
      <w:tblGrid>
        <w:gridCol w:w="9400"/>
      </w:tblGrid>
      <w:tr>
        <w:tc>
          <w:tcPr>
            <w:tcW w:type="dxa" w:w="9400"/>
            <w:shd w:fill="1E7A46" w:val="clear"/>
            <w:tcMar>
              <w:top w:type="dxa" w:w="220"/>
              <w:left w:type="dxa" w:w="220"/>
              <w:bottom w:type="dxa" w:w="220"/>
              <w:right w:type="dxa" w:w="220"/>
            </w:tcMar>
          </w:tcPr>
          <w:p>
            <w:pPr>
              <w:spacing w:after="40"/>
            </w:pPr>
            <w:r>
              <w:rPr>
                <w:rFonts w:ascii="Arial" w:cs="Arial" w:eastAsia="Arial" w:hAnsi="Arial"/>
                <w:b/>
                <w:bCs/>
                <w:color w:val="CDE8D8"/>
                <w:sz w:val="18"/>
                <w:szCs w:val="18"/>
              </w:rPr>
              <w:t xml:space="preserve">ORGANISATION — ÉQUIPE LOGISTIQUE</w:t>
            </w:r>
          </w:p>
          <w:p>
            <w:pPr>
              <w:spacing w:after="40"/>
            </w:pPr>
            <w:r>
              <w:rPr>
                <w:rFonts w:ascii="Arial" w:cs="Arial" w:eastAsia="Arial" w:hAnsi="Arial"/>
                <w:b/>
                <w:bCs/>
                <w:color w:val="FFFFFF"/>
                <w:sz w:val="38"/>
                <w:szCs w:val="38"/>
              </w:rPr>
              <w:t xml:space="preserve">Coordination Préparation &amp; Logistique</w:t>
            </w:r>
          </w:p>
          <w:p>
            <w:r>
              <w:rPr>
                <w:rFonts w:ascii="Arial" w:cs="Arial" w:eastAsia="Arial" w:hAnsi="Arial"/>
                <w:color w:val="EAF4EE"/>
                <w:sz w:val="20"/>
                <w:szCs w:val="20"/>
              </w:rPr>
              <w:t xml:space="preserve">Nouvelle organisation · Basil — restauration collective &amp; portage de repas</w:t>
            </w:r>
          </w:p>
        </w:tc>
      </w:tr>
    </w:tbl>
    <w:p>
      <w:pPr>
        <w:spacing w:after="120"/>
      </w:pPr>
    </w:p>
    <w:p>
      <w:pPr>
        <w:spacing w:after="110" w:line="274"/>
        <w:jc w:val="both"/>
      </w:pPr>
      <w:r>
        <w:rPr>
          <w:rFonts w:ascii="Arial" w:cs="Arial" w:eastAsia="Arial" w:hAnsi="Arial"/>
          <w:color w:val="1A2230"/>
          <w:sz w:val="21"/>
          <w:szCs w:val="21"/>
        </w:rPr>
        <w:t xml:space="preserve">Pour gagner en clarté et en régularité, l'équipe logistique s'organise autour de </w:t>
      </w:r>
      <w:r>
        <w:rPr>
          <w:rFonts w:ascii="Arial" w:cs="Arial" w:eastAsia="Arial" w:hAnsi="Arial"/>
          <w:b/>
          <w:bCs/>
          <w:color w:val="1A2230"/>
          <w:sz w:val="21"/>
          <w:szCs w:val="21"/>
        </w:rPr>
        <w:t xml:space="preserve">deux coordinateurs de même niveau</w:t>
      </w:r>
      <w:r>
        <w:rPr>
          <w:rFonts w:ascii="Arial" w:cs="Arial" w:eastAsia="Arial" w:hAnsi="Arial"/>
          <w:color w:val="1A2230"/>
          <w:sz w:val="21"/>
          <w:szCs w:val="21"/>
        </w:rPr>
        <w:t xml:space="preserve">, tous deux rattachés à </w:t>
      </w:r>
      <w:r>
        <w:rPr>
          <w:rFonts w:ascii="Arial" w:cs="Arial" w:eastAsia="Arial" w:hAnsi="Arial"/>
          <w:b/>
          <w:bCs/>
          <w:color w:val="1A2230"/>
          <w:sz w:val="21"/>
          <w:szCs w:val="21"/>
        </w:rPr>
        <w:t xml:space="preserve">Thomas Le Saux</w:t>
      </w:r>
      <w:r>
        <w:rPr>
          <w:rFonts w:ascii="Arial" w:cs="Arial" w:eastAsia="Arial" w:hAnsi="Arial"/>
          <w:color w:val="1A2230"/>
          <w:sz w:val="21"/>
          <w:szCs w:val="21"/>
        </w:rPr>
        <w:t xml:space="preserve"> (responsable production &amp; préparation) : la </w:t>
      </w:r>
      <w:r>
        <w:rPr>
          <w:rFonts w:ascii="Arial" w:cs="Arial" w:eastAsia="Arial" w:hAnsi="Arial"/>
          <w:b/>
          <w:bCs/>
          <w:color w:val="1A2230"/>
          <w:sz w:val="21"/>
          <w:szCs w:val="21"/>
        </w:rPr>
        <w:t xml:space="preserve">préparation</w:t>
      </w:r>
      <w:r>
        <w:rPr>
          <w:rFonts w:ascii="Arial" w:cs="Arial" w:eastAsia="Arial" w:hAnsi="Arial"/>
          <w:color w:val="1A2230"/>
          <w:sz w:val="21"/>
          <w:szCs w:val="21"/>
        </w:rPr>
        <w:t xml:space="preserve"> (Christophe) et la </w:t>
      </w:r>
      <w:r>
        <w:rPr>
          <w:rFonts w:ascii="Arial" w:cs="Arial" w:eastAsia="Arial" w:hAnsi="Arial"/>
          <w:b/>
          <w:bCs/>
          <w:color w:val="1A2230"/>
          <w:sz w:val="21"/>
          <w:szCs w:val="21"/>
        </w:rPr>
        <w:t xml:space="preserve">livraison</w:t>
      </w:r>
      <w:r>
        <w:rPr>
          <w:rFonts w:ascii="Arial" w:cs="Arial" w:eastAsia="Arial" w:hAnsi="Arial"/>
          <w:color w:val="1A2230"/>
          <w:sz w:val="21"/>
          <w:szCs w:val="21"/>
        </w:rPr>
        <w:t xml:space="preserve"> (Charlotte). Ils ont autorité sur les équipiers de leur périmètre, veillent à leur productivité, et valident les départs. Ce document présente qui fait quoi et qui valide quoi.</w:t>
      </w:r>
    </w:p>
    <w:p>
      <w:pPr>
        <w:pBdr>
          <w:bottom w:val="single" w:color="D8E2DA" w:sz="8" w:space="5"/>
        </w:pBdr>
        <w:spacing w:after="120" w:before="270"/>
      </w:pPr>
      <w:r>
        <w:rPr>
          <w:rFonts w:ascii="Arial" w:cs="Arial" w:eastAsia="Arial" w:hAnsi="Arial"/>
          <w:b/>
          <w:bCs/>
          <w:color w:val="1E7A46"/>
          <w:sz w:val="26"/>
          <w:szCs w:val="26"/>
        </w:rPr>
        <w:t xml:space="preserve">Organigramme</w:t>
      </w:r>
    </w:p>
    <w:tbl>
      <w:tblPr>
        <w:tblW w:type="dxa" w:w="9400"/>
        <w:tblBorders>
          <w:top w:val="none"/>
          <w:left w:val="none"/>
          <w:bottom w:val="none"/>
          <w:right w:val="none"/>
          <w:insideH w:val="none"/>
          <w:insideV w:val="none"/>
        </w:tblBorders>
      </w:tblPr>
      <w:tblGrid>
        <w:gridCol w:w="2425"/>
        <w:gridCol w:w="4550"/>
        <w:gridCol w:w="2425"/>
      </w:tblGrid>
      <w:tr>
        <w:tc>
          <w:tcPr>
            <w:tcW w:type="dxa" w:w="2425"/>
            <w:tcBorders>
              <w:top w:val="none"/>
              <w:left w:val="none"/>
              <w:bottom w:val="none"/>
              <w:right w:val="none"/>
            </w:tcBorders>
          </w:tcPr>
          <w:p/>
        </w:tc>
        <w:tc>
          <w:tcPr>
            <w:tcW w:type="dxa" w:w="4550"/>
            <w:tcBorders>
              <w:top w:val="none"/>
              <w:left w:val="none"/>
              <w:bottom w:val="none"/>
              <w:right w:val="none"/>
            </w:tcBorders>
          </w:tcPr>
          <w:tbl>
            <w:tblPr>
              <w:tblW w:type="dxa" w:w="4550"/>
              <w:tblBorders>
                <w:top w:val="single" w:color="1A2230" w:sz="6"/>
                <w:left w:val="single" w:color="1A2230" w:sz="6"/>
                <w:bottom w:val="single" w:color="1A2230" w:sz="6"/>
                <w:right w:val="single" w:color="1A2230" w:sz="6"/>
                <w:insideH w:val="none"/>
                <w:insideV w:val="none"/>
              </w:tblBorders>
            </w:tblPr>
            <w:tblGrid>
              <w:gridCol w:w="4550"/>
            </w:tblGrid>
            <w:tr>
              <w:tc>
                <w:tcPr>
                  <w:tcW w:type="dxa" w:w="4550"/>
                  <w:shd w:fill="1A2230" w:val="clear"/>
                  <w:tcMar>
                    <w:top w:type="dxa" w:w="90"/>
                    <w:left w:type="dxa" w:w="140"/>
                    <w:bottom w:type="dxa" w:w="90"/>
                    <w:right w:type="dxa" w:w="140"/>
                  </w:tcMar>
                </w:tcPr>
                <w:p>
                  <w:pPr>
                    <w:spacing w:after="20"/>
                    <w:jc w:val="center"/>
                  </w:pPr>
                  <w:r>
                    <w:rPr>
                      <w:rFonts w:ascii="Arial" w:cs="Arial" w:eastAsia="Arial" w:hAnsi="Arial"/>
                      <w:b/>
                      <w:bCs/>
                      <w:color w:val="FFFFFF"/>
                      <w:sz w:val="17"/>
                      <w:szCs w:val="17"/>
                    </w:rPr>
                    <w:t xml:space="preserve">DIRECTION</w:t>
                  </w:r>
                </w:p>
                <w:p>
                  <w:pPr>
                    <w:jc w:val="center"/>
                  </w:pPr>
                  <w:r>
                    <w:rPr>
                      <w:rFonts w:ascii="Arial" w:cs="Arial" w:eastAsia="Arial" w:hAnsi="Arial"/>
                      <w:b/>
                      <w:bCs/>
                      <w:color w:val="FFFFFF"/>
                      <w:sz w:val="22"/>
                      <w:szCs w:val="22"/>
                    </w:rPr>
                    <w:t xml:space="preserve">Güney</w:t>
                  </w:r>
                </w:p>
              </w:tc>
            </w:tr>
          </w:tbl>
          <w:p/>
        </w:tc>
        <w:tc>
          <w:tcPr>
            <w:tcW w:type="dxa" w:w="2425"/>
            <w:tcBorders>
              <w:top w:val="none"/>
              <w:left w:val="none"/>
              <w:bottom w:val="none"/>
              <w:right w:val="none"/>
            </w:tcBorders>
          </w:tcPr>
          <w:p/>
        </w:tc>
      </w:tr>
    </w:tbl>
    <w:p>
      <w:pPr>
        <w:spacing w:after="20" w:before="20"/>
        <w:jc w:val="center"/>
      </w:pPr>
      <w:r>
        <w:rPr>
          <w:rFonts w:ascii="Arial" w:cs="Arial" w:eastAsia="Arial" w:hAnsi="Arial"/>
          <w:color w:val="6A746E"/>
          <w:sz w:val="22"/>
          <w:szCs w:val="22"/>
        </w:rPr>
        <w:t xml:space="preserve">│</w:t>
      </w:r>
    </w:p>
    <w:tbl>
      <w:tblPr>
        <w:tblW w:type="dxa" w:w="9400"/>
        <w:tblBorders>
          <w:top w:val="none"/>
          <w:left w:val="none"/>
          <w:bottom w:val="none"/>
          <w:right w:val="none"/>
          <w:insideH w:val="none"/>
          <w:insideV w:val="none"/>
        </w:tblBorders>
      </w:tblPr>
      <w:tblGrid>
        <w:gridCol w:w="2425"/>
        <w:gridCol w:w="4550"/>
        <w:gridCol w:w="2425"/>
      </w:tblGrid>
      <w:tr>
        <w:tc>
          <w:tcPr>
            <w:tcW w:type="dxa" w:w="2425"/>
            <w:tcBorders>
              <w:top w:val="none"/>
              <w:left w:val="none"/>
              <w:bottom w:val="none"/>
              <w:right w:val="none"/>
            </w:tcBorders>
          </w:tcPr>
          <w:p/>
        </w:tc>
        <w:tc>
          <w:tcPr>
            <w:tcW w:type="dxa" w:w="4550"/>
            <w:tcBorders>
              <w:top w:val="none"/>
              <w:left w:val="none"/>
              <w:bottom w:val="none"/>
              <w:right w:val="none"/>
            </w:tcBorders>
          </w:tcPr>
          <w:tbl>
            <w:tblPr>
              <w:tblW w:type="dxa" w:w="4550"/>
              <w:tblBorders>
                <w:top w:val="single" w:color="1E7A46" w:sz="6"/>
                <w:left w:val="single" w:color="1E7A46" w:sz="6"/>
                <w:bottom w:val="single" w:color="1E7A46" w:sz="6"/>
                <w:right w:val="single" w:color="1E7A46" w:sz="6"/>
                <w:insideH w:val="none"/>
                <w:insideV w:val="none"/>
              </w:tblBorders>
            </w:tblPr>
            <w:tblGrid>
              <w:gridCol w:w="4550"/>
            </w:tblGrid>
            <w:tr>
              <w:tc>
                <w:tcPr>
                  <w:tcW w:type="dxa" w:w="4550"/>
                  <w:shd w:fill="1E7A46" w:val="clear"/>
                  <w:tcMar>
                    <w:top w:type="dxa" w:w="90"/>
                    <w:left w:type="dxa" w:w="140"/>
                    <w:bottom w:type="dxa" w:w="90"/>
                    <w:right w:type="dxa" w:w="140"/>
                  </w:tcMar>
                </w:tcPr>
                <w:p>
                  <w:pPr>
                    <w:spacing w:after="20"/>
                    <w:jc w:val="center"/>
                  </w:pPr>
                  <w:r>
                    <w:rPr>
                      <w:rFonts w:ascii="Arial" w:cs="Arial" w:eastAsia="Arial" w:hAnsi="Arial"/>
                      <w:b/>
                      <w:bCs/>
                      <w:color w:val="FFFFFF"/>
                      <w:sz w:val="17"/>
                      <w:szCs w:val="17"/>
                    </w:rPr>
                    <w:t xml:space="preserve">DIRECTEUR DES OPÉRATIONS</w:t>
                  </w:r>
                </w:p>
                <w:p>
                  <w:pPr>
                    <w:jc w:val="center"/>
                  </w:pPr>
                  <w:r>
                    <w:rPr>
                      <w:rFonts w:ascii="Arial" w:cs="Arial" w:eastAsia="Arial" w:hAnsi="Arial"/>
                      <w:b/>
                      <w:bCs/>
                      <w:color w:val="FFFFFF"/>
                      <w:sz w:val="22"/>
                      <w:szCs w:val="22"/>
                    </w:rPr>
                    <w:t xml:space="preserve">Brice</w:t>
                  </w:r>
                </w:p>
                <w:p>
                  <w:pPr>
                    <w:spacing w:before="10"/>
                    <w:jc w:val="center"/>
                  </w:pPr>
                  <w:r>
                    <w:rPr>
                      <w:rFonts w:ascii="Arial" w:cs="Arial" w:eastAsia="Arial" w:hAnsi="Arial"/>
                      <w:color w:val="FFFFFF"/>
                      <w:sz w:val="15"/>
                      <w:szCs w:val="15"/>
                    </w:rPr>
                    <w:t xml:space="preserve">À compter du 17/08/2026</w:t>
                  </w:r>
                </w:p>
              </w:tc>
            </w:tr>
          </w:tbl>
          <w:p/>
        </w:tc>
        <w:tc>
          <w:tcPr>
            <w:tcW w:type="dxa" w:w="2425"/>
            <w:tcBorders>
              <w:top w:val="none"/>
              <w:left w:val="none"/>
              <w:bottom w:val="none"/>
              <w:right w:val="none"/>
            </w:tcBorders>
          </w:tcPr>
          <w:p/>
        </w:tc>
      </w:tr>
    </w:tbl>
    <w:p>
      <w:pPr>
        <w:spacing w:after="20" w:before="20"/>
        <w:jc w:val="center"/>
      </w:pPr>
      <w:r>
        <w:rPr>
          <w:rFonts w:ascii="Arial" w:cs="Arial" w:eastAsia="Arial" w:hAnsi="Arial"/>
          <w:color w:val="6A746E"/>
          <w:sz w:val="22"/>
          <w:szCs w:val="22"/>
        </w:rPr>
        <w:t xml:space="preserve">│</w:t>
      </w:r>
    </w:p>
    <w:tbl>
      <w:tblPr>
        <w:tblW w:type="dxa" w:w="9400"/>
        <w:tblBorders>
          <w:top w:val="none"/>
          <w:left w:val="none"/>
          <w:bottom w:val="none"/>
          <w:right w:val="none"/>
          <w:insideH w:val="none"/>
          <w:insideV w:val="none"/>
        </w:tblBorders>
      </w:tblPr>
      <w:tblGrid>
        <w:gridCol w:w="2425"/>
        <w:gridCol w:w="4550"/>
        <w:gridCol w:w="2425"/>
      </w:tblGrid>
      <w:tr>
        <w:tc>
          <w:tcPr>
            <w:tcW w:type="dxa" w:w="2425"/>
            <w:tcBorders>
              <w:top w:val="none"/>
              <w:left w:val="none"/>
              <w:bottom w:val="none"/>
              <w:right w:val="none"/>
            </w:tcBorders>
          </w:tcPr>
          <w:p/>
        </w:tc>
        <w:tc>
          <w:tcPr>
            <w:tcW w:type="dxa" w:w="4550"/>
            <w:tcBorders>
              <w:top w:val="none"/>
              <w:left w:val="none"/>
              <w:bottom w:val="none"/>
              <w:right w:val="none"/>
            </w:tcBorders>
          </w:tcPr>
          <w:tbl>
            <w:tblPr>
              <w:tblW w:type="dxa" w:w="4550"/>
              <w:tblBorders>
                <w:top w:val="single" w:color="1A2230" w:sz="6"/>
                <w:left w:val="single" w:color="1A2230" w:sz="6"/>
                <w:bottom w:val="single" w:color="1A2230" w:sz="6"/>
                <w:right w:val="single" w:color="1A2230" w:sz="6"/>
                <w:insideH w:val="none"/>
                <w:insideV w:val="none"/>
              </w:tblBorders>
            </w:tblPr>
            <w:tblGrid>
              <w:gridCol w:w="4550"/>
            </w:tblGrid>
            <w:tr>
              <w:tc>
                <w:tcPr>
                  <w:tcW w:type="dxa" w:w="4550"/>
                  <w:shd w:fill="1A2230" w:val="clear"/>
                  <w:tcMar>
                    <w:top w:type="dxa" w:w="90"/>
                    <w:left w:type="dxa" w:w="140"/>
                    <w:bottom w:type="dxa" w:w="90"/>
                    <w:right w:type="dxa" w:w="140"/>
                  </w:tcMar>
                </w:tcPr>
                <w:p>
                  <w:pPr>
                    <w:spacing w:after="20"/>
                    <w:jc w:val="center"/>
                  </w:pPr>
                  <w:r>
                    <w:rPr>
                      <w:rFonts w:ascii="Arial" w:cs="Arial" w:eastAsia="Arial" w:hAnsi="Arial"/>
                      <w:b/>
                      <w:bCs/>
                      <w:color w:val="FFFFFF"/>
                      <w:sz w:val="17"/>
                      <w:szCs w:val="17"/>
                    </w:rPr>
                    <w:t xml:space="preserve">RESP. PRODUCTION &amp; PRÉPARATION</w:t>
                  </w:r>
                </w:p>
                <w:p>
                  <w:pPr>
                    <w:jc w:val="center"/>
                  </w:pPr>
                  <w:r>
                    <w:rPr>
                      <w:rFonts w:ascii="Arial" w:cs="Arial" w:eastAsia="Arial" w:hAnsi="Arial"/>
                      <w:b/>
                      <w:bCs/>
                      <w:color w:val="FFFFFF"/>
                      <w:sz w:val="22"/>
                      <w:szCs w:val="22"/>
                    </w:rPr>
                    <w:t xml:space="preserve">Thomas Le Saux</w:t>
                  </w:r>
                </w:p>
                <w:p>
                  <w:pPr>
                    <w:spacing w:before="10"/>
                    <w:jc w:val="center"/>
                  </w:pPr>
                  <w:r>
                    <w:rPr>
                      <w:rFonts w:ascii="Arial" w:cs="Arial" w:eastAsia="Arial" w:hAnsi="Arial"/>
                      <w:color w:val="FFFFFF"/>
                      <w:sz w:val="15"/>
                      <w:szCs w:val="15"/>
                    </w:rPr>
                    <w:t xml:space="preserve">Production · préparation · livraison</w:t>
                  </w:r>
                </w:p>
              </w:tc>
            </w:tr>
          </w:tbl>
          <w:p/>
        </w:tc>
        <w:tc>
          <w:tcPr>
            <w:tcW w:type="dxa" w:w="2425"/>
            <w:tcBorders>
              <w:top w:val="none"/>
              <w:left w:val="none"/>
              <w:bottom w:val="none"/>
              <w:right w:val="none"/>
            </w:tcBorders>
          </w:tcPr>
          <w:p/>
        </w:tc>
      </w:tr>
    </w:tbl>
    <w:p>
      <w:pPr>
        <w:spacing w:after="20" w:before="20"/>
        <w:jc w:val="center"/>
      </w:pPr>
      <w:r>
        <w:rPr>
          <w:rFonts w:ascii="Arial" w:cs="Arial" w:eastAsia="Arial" w:hAnsi="Arial"/>
          <w:color w:val="6A746E"/>
          <w:sz w:val="22"/>
          <w:szCs w:val="22"/>
        </w:rPr>
        <w:t xml:space="preserve">│</w:t>
      </w:r>
    </w:p>
    <w:tbl>
      <w:tblPr>
        <w:tblW w:type="dxa" w:w="9400"/>
        <w:tblBorders>
          <w:top w:val="none"/>
          <w:left w:val="none"/>
          <w:bottom w:val="none"/>
          <w:right w:val="none"/>
          <w:insideH w:val="none"/>
          <w:insideV w:val="none"/>
        </w:tblBorders>
      </w:tblPr>
      <w:tblGrid>
        <w:gridCol w:w="4700"/>
        <w:gridCol w:w="4700"/>
      </w:tblGrid>
      <w:tr>
        <w:tc>
          <w:tcPr>
            <w:tcW w:type="dxa" w:w="4700"/>
            <w:tcBorders>
              <w:top w:val="none"/>
              <w:left w:val="none"/>
              <w:bottom w:val="none"/>
              <w:right w:val="none"/>
            </w:tcBorders>
            <w:tcMar>
              <w:right w:type="dxa" w:w="100"/>
            </w:tcMar>
          </w:tcPr>
          <w:tbl>
            <w:tblPr>
              <w:tblW w:type="dxa" w:w="4550"/>
              <w:tblBorders>
                <w:top w:val="single" w:color="C25A18" w:sz="6"/>
                <w:left w:val="single" w:color="C25A18" w:sz="6"/>
                <w:bottom w:val="single" w:color="C25A18" w:sz="6"/>
                <w:right w:val="single" w:color="C25A18" w:sz="6"/>
                <w:insideH w:val="none"/>
                <w:insideV w:val="none"/>
              </w:tblBorders>
            </w:tblPr>
            <w:tblGrid>
              <w:gridCol w:w="4550"/>
            </w:tblGrid>
            <w:tr>
              <w:tc>
                <w:tcPr>
                  <w:tcW w:type="dxa" w:w="4550"/>
                  <w:shd w:fill="C25A18" w:val="clear"/>
                  <w:tcMar>
                    <w:top w:type="dxa" w:w="90"/>
                    <w:left w:type="dxa" w:w="140"/>
                    <w:bottom w:type="dxa" w:w="90"/>
                    <w:right w:type="dxa" w:w="140"/>
                  </w:tcMar>
                </w:tcPr>
                <w:p>
                  <w:pPr>
                    <w:spacing w:after="20"/>
                    <w:jc w:val="center"/>
                  </w:pPr>
                  <w:r>
                    <w:rPr>
                      <w:rFonts w:ascii="Arial" w:cs="Arial" w:eastAsia="Arial" w:hAnsi="Arial"/>
                      <w:b/>
                      <w:bCs/>
                      <w:color w:val="FFFFFF"/>
                      <w:sz w:val="17"/>
                      <w:szCs w:val="17"/>
                    </w:rPr>
                    <w:t xml:space="preserve">COORDINATEUR PRÉPARATION</w:t>
                  </w:r>
                </w:p>
                <w:p>
                  <w:pPr>
                    <w:jc w:val="center"/>
                  </w:pPr>
                  <w:r>
                    <w:rPr>
                      <w:rFonts w:ascii="Arial" w:cs="Arial" w:eastAsia="Arial" w:hAnsi="Arial"/>
                      <w:b/>
                      <w:bCs/>
                      <w:color w:val="FFFFFF"/>
                      <w:sz w:val="22"/>
                      <w:szCs w:val="22"/>
                    </w:rPr>
                    <w:t xml:space="preserve">Christophe Camus</w:t>
                  </w:r>
                </w:p>
                <w:p>
                  <w:pPr>
                    <w:spacing w:before="10"/>
                    <w:jc w:val="center"/>
                  </w:pPr>
                  <w:r>
                    <w:rPr>
                      <w:rFonts w:ascii="Arial" w:cs="Arial" w:eastAsia="Arial" w:hAnsi="Arial"/>
                      <w:color w:val="FFFFFF"/>
                      <w:sz w:val="15"/>
                      <w:szCs w:val="15"/>
                    </w:rPr>
                    <w:t xml:space="preserve">Préparation · zone prep &amp; produits finis</w:t>
                  </w:r>
                </w:p>
              </w:tc>
            </w:tr>
          </w:tbl>
          <w:p/>
        </w:tc>
        <w:tc>
          <w:tcPr>
            <w:tcW w:type="dxa" w:w="4700"/>
            <w:tcBorders>
              <w:top w:val="none"/>
              <w:left w:val="none"/>
              <w:bottom w:val="none"/>
              <w:right w:val="none"/>
            </w:tcBorders>
            <w:tcMar>
              <w:left w:type="dxa" w:w="100"/>
            </w:tcMar>
          </w:tcPr>
          <w:tbl>
            <w:tblPr>
              <w:tblW w:type="dxa" w:w="4550"/>
              <w:tblBorders>
                <w:top w:val="single" w:color="2563EB" w:sz="6"/>
                <w:left w:val="single" w:color="2563EB" w:sz="6"/>
                <w:bottom w:val="single" w:color="2563EB" w:sz="6"/>
                <w:right w:val="single" w:color="2563EB" w:sz="6"/>
                <w:insideH w:val="none"/>
                <w:insideV w:val="none"/>
              </w:tblBorders>
            </w:tblPr>
            <w:tblGrid>
              <w:gridCol w:w="4550"/>
            </w:tblGrid>
            <w:tr>
              <w:tc>
                <w:tcPr>
                  <w:tcW w:type="dxa" w:w="4550"/>
                  <w:shd w:fill="2563EB" w:val="clear"/>
                  <w:tcMar>
                    <w:top w:type="dxa" w:w="90"/>
                    <w:left w:type="dxa" w:w="140"/>
                    <w:bottom w:type="dxa" w:w="90"/>
                    <w:right w:type="dxa" w:w="140"/>
                  </w:tcMar>
                </w:tcPr>
                <w:p>
                  <w:pPr>
                    <w:spacing w:after="20"/>
                    <w:jc w:val="center"/>
                  </w:pPr>
                  <w:r>
                    <w:rPr>
                      <w:rFonts w:ascii="Arial" w:cs="Arial" w:eastAsia="Arial" w:hAnsi="Arial"/>
                      <w:b/>
                      <w:bCs/>
                      <w:color w:val="FFFFFF"/>
                      <w:sz w:val="17"/>
                      <w:szCs w:val="17"/>
                    </w:rPr>
                    <w:t xml:space="preserve">COORDINATRICE LOGISTIQUE</w:t>
                  </w:r>
                </w:p>
                <w:p>
                  <w:pPr>
                    <w:jc w:val="center"/>
                  </w:pPr>
                  <w:r>
                    <w:rPr>
                      <w:rFonts w:ascii="Arial" w:cs="Arial" w:eastAsia="Arial" w:hAnsi="Arial"/>
                      <w:b/>
                      <w:bCs/>
                      <w:color w:val="FFFFFF"/>
                      <w:sz w:val="22"/>
                      <w:szCs w:val="22"/>
                    </w:rPr>
                    <w:t xml:space="preserve">Charlotte Copsidas</w:t>
                  </w:r>
                </w:p>
                <w:p>
                  <w:pPr>
                    <w:spacing w:before="10"/>
                    <w:jc w:val="center"/>
                  </w:pPr>
                  <w:r>
                    <w:rPr>
                      <w:rFonts w:ascii="Arial" w:cs="Arial" w:eastAsia="Arial" w:hAnsi="Arial"/>
                      <w:color w:val="FFFFFF"/>
                      <w:sz w:val="15"/>
                      <w:szCs w:val="15"/>
                    </w:rPr>
                    <w:t xml:space="preserve">Livraison · flotte · plannings</w:t>
                  </w:r>
                </w:p>
              </w:tc>
            </w:tr>
          </w:tbl>
          <w:p/>
        </w:tc>
      </w:tr>
    </w:tbl>
    <w:p>
      <w:pPr>
        <w:spacing w:after="20" w:before="20"/>
        <w:jc w:val="center"/>
      </w:pPr>
      <w:r>
        <w:rPr>
          <w:rFonts w:ascii="Arial" w:cs="Arial" w:eastAsia="Arial" w:hAnsi="Arial"/>
          <w:color w:val="6A746E"/>
          <w:sz w:val="22"/>
          <w:szCs w:val="22"/>
        </w:rPr>
        <w:t xml:space="preserve">│</w:t>
      </w:r>
    </w:p>
    <w:tbl>
      <w:tblPr>
        <w:tblW w:type="dxa" w:w="9400"/>
        <w:tblBorders>
          <w:top w:val="none"/>
          <w:left w:val="none"/>
          <w:bottom w:val="none"/>
          <w:right w:val="none"/>
          <w:insideH w:val="none"/>
          <w:insideV w:val="none"/>
        </w:tblBorders>
      </w:tblPr>
      <w:tblGrid>
        <w:gridCol w:w="4700"/>
        <w:gridCol w:w="4700"/>
      </w:tblGrid>
      <w:tr>
        <w:tc>
          <w:tcPr>
            <w:tcW w:type="dxa" w:w="4700"/>
            <w:tcBorders>
              <w:top w:val="none"/>
              <w:left w:val="none"/>
              <w:bottom w:val="none"/>
              <w:right w:val="none"/>
            </w:tcBorders>
            <w:tcMar>
              <w:right w:type="dxa" w:w="100"/>
            </w:tcMar>
          </w:tcPr>
          <w:tbl>
            <w:tblPr>
              <w:tblW w:type="dxa" w:w="4550"/>
              <w:tblBorders>
                <w:top w:val="single" w:color="F1F5F2" w:sz="6"/>
                <w:left w:val="single" w:color="F1F5F2" w:sz="6"/>
                <w:bottom w:val="single" w:color="F1F5F2" w:sz="6"/>
                <w:right w:val="single" w:color="F1F5F2" w:sz="6"/>
                <w:insideH w:val="none"/>
                <w:insideV w:val="none"/>
              </w:tblBorders>
            </w:tblPr>
            <w:tblGrid>
              <w:gridCol w:w="4550"/>
            </w:tblGrid>
            <w:tr>
              <w:tc>
                <w:tcPr>
                  <w:tcW w:type="dxa" w:w="4550"/>
                  <w:shd w:fill="F1F5F2" w:val="clear"/>
                  <w:tcMar>
                    <w:top w:type="dxa" w:w="90"/>
                    <w:left w:type="dxa" w:w="140"/>
                    <w:bottom w:type="dxa" w:w="90"/>
                    <w:right w:type="dxa" w:w="140"/>
                  </w:tcMar>
                </w:tcPr>
                <w:p>
                  <w:pPr>
                    <w:spacing w:after="20"/>
                    <w:jc w:val="center"/>
                  </w:pPr>
                  <w:r>
                    <w:rPr>
                      <w:rFonts w:ascii="Arial" w:cs="Arial" w:eastAsia="Arial" w:hAnsi="Arial"/>
                      <w:b/>
                      <w:bCs/>
                      <w:color w:val="1A2230"/>
                      <w:sz w:val="17"/>
                      <w:szCs w:val="17"/>
                    </w:rPr>
                    <w:t xml:space="preserve">ÉQUIPE</w:t>
                  </w:r>
                </w:p>
                <w:p>
                  <w:pPr>
                    <w:jc w:val="center"/>
                  </w:pPr>
                  <w:r>
                    <w:rPr>
                      <w:rFonts w:ascii="Arial" w:cs="Arial" w:eastAsia="Arial" w:hAnsi="Arial"/>
                      <w:b/>
                      <w:bCs/>
                      <w:color w:val="1A2230"/>
                      <w:sz w:val="22"/>
                      <w:szCs w:val="22"/>
                    </w:rPr>
                    <w:t xml:space="preserve">Équipiers préparation</w:t>
                  </w:r>
                </w:p>
                <w:p>
                  <w:pPr>
                    <w:spacing w:before="10"/>
                    <w:jc w:val="center"/>
                  </w:pPr>
                  <w:r>
                    <w:rPr>
                      <w:rFonts w:ascii="Arial" w:cs="Arial" w:eastAsia="Arial" w:hAnsi="Arial"/>
                      <w:color w:val="1A2230"/>
                      <w:sz w:val="15"/>
                      <w:szCs w:val="15"/>
                    </w:rPr>
                    <w:t xml:space="preserve">+ livreurs en session prep</w:t>
                  </w:r>
                </w:p>
              </w:tc>
            </w:tr>
          </w:tbl>
          <w:p/>
        </w:tc>
        <w:tc>
          <w:tcPr>
            <w:tcW w:type="dxa" w:w="4700"/>
            <w:tcBorders>
              <w:top w:val="none"/>
              <w:left w:val="none"/>
              <w:bottom w:val="none"/>
              <w:right w:val="none"/>
            </w:tcBorders>
            <w:tcMar>
              <w:left w:type="dxa" w:w="100"/>
            </w:tcMar>
          </w:tcPr>
          <w:tbl>
            <w:tblPr>
              <w:tblW w:type="dxa" w:w="4550"/>
              <w:tblBorders>
                <w:top w:val="single" w:color="F1F5F2" w:sz="6"/>
                <w:left w:val="single" w:color="F1F5F2" w:sz="6"/>
                <w:bottom w:val="single" w:color="F1F5F2" w:sz="6"/>
                <w:right w:val="single" w:color="F1F5F2" w:sz="6"/>
                <w:insideH w:val="none"/>
                <w:insideV w:val="none"/>
              </w:tblBorders>
            </w:tblPr>
            <w:tblGrid>
              <w:gridCol w:w="4550"/>
            </w:tblGrid>
            <w:tr>
              <w:tc>
                <w:tcPr>
                  <w:tcW w:type="dxa" w:w="4550"/>
                  <w:shd w:fill="F1F5F2" w:val="clear"/>
                  <w:tcMar>
                    <w:top w:type="dxa" w:w="90"/>
                    <w:left w:type="dxa" w:w="140"/>
                    <w:bottom w:type="dxa" w:w="90"/>
                    <w:right w:type="dxa" w:w="140"/>
                  </w:tcMar>
                </w:tcPr>
                <w:p>
                  <w:pPr>
                    <w:spacing w:after="20"/>
                    <w:jc w:val="center"/>
                  </w:pPr>
                  <w:r>
                    <w:rPr>
                      <w:rFonts w:ascii="Arial" w:cs="Arial" w:eastAsia="Arial" w:hAnsi="Arial"/>
                      <w:b/>
                      <w:bCs/>
                      <w:color w:val="1A2230"/>
                      <w:sz w:val="17"/>
                      <w:szCs w:val="17"/>
                    </w:rPr>
                    <w:t xml:space="preserve">ÉQUIPE</w:t>
                  </w:r>
                </w:p>
                <w:p>
                  <w:pPr>
                    <w:jc w:val="center"/>
                  </w:pPr>
                  <w:r>
                    <w:rPr>
                      <w:rFonts w:ascii="Arial" w:cs="Arial" w:eastAsia="Arial" w:hAnsi="Arial"/>
                      <w:b/>
                      <w:bCs/>
                      <w:color w:val="1A2230"/>
                      <w:sz w:val="22"/>
                      <w:szCs w:val="22"/>
                    </w:rPr>
                    <w:t xml:space="preserve">Livreurs</w:t>
                  </w:r>
                </w:p>
                <w:p>
                  <w:pPr>
                    <w:spacing w:before="10"/>
                    <w:jc w:val="center"/>
                  </w:pPr>
                  <w:r>
                    <w:rPr>
                      <w:rFonts w:ascii="Arial" w:cs="Arial" w:eastAsia="Arial" w:hAnsi="Arial"/>
                      <w:color w:val="1A2230"/>
                      <w:sz w:val="15"/>
                      <w:szCs w:val="15"/>
                    </w:rPr>
                    <w:t xml:space="preserve">Tournées</w:t>
                  </w:r>
                </w:p>
              </w:tc>
            </w:tr>
          </w:tbl>
          <w:p/>
        </w:tc>
      </w:tr>
    </w:tbl>
    <w:p>
      <w:pPr>
        <w:spacing w:after="60" w:before="120"/>
        <w:jc w:val="both"/>
      </w:pPr>
      <w:r>
        <w:rPr>
          <w:rFonts w:ascii="Arial" w:cs="Arial" w:eastAsia="Arial" w:hAnsi="Arial"/>
          <w:i/>
          <w:iCs/>
          <w:color w:val="6A746E"/>
          <w:sz w:val="18"/>
          <w:szCs w:val="18"/>
        </w:rPr>
        <w:t xml:space="preserve">Note : Thomas Le Saux (sous Brice) supervise la production, la préparation et la livraison. Christophe (coordinateur préparation) et Charlotte (coordinatrice logistique) lui sont tous deux rattachés, au même niveau hiérarchique. Il n'y a plus de poste de Responsable Logistique.</w:t>
      </w:r>
    </w:p>
    <w:p>
      <w:pPr>
        <w:pBdr>
          <w:bottom w:val="single" w:color="D8E2DA" w:sz="8" w:space="5"/>
        </w:pBdr>
        <w:spacing w:after="120" w:before="270"/>
      </w:pPr>
      <w:r>
        <w:rPr>
          <w:rFonts w:ascii="Arial" w:cs="Arial" w:eastAsia="Arial" w:hAnsi="Arial"/>
          <w:b/>
          <w:bCs/>
          <w:color w:val="1E7A46"/>
          <w:sz w:val="26"/>
          <w:szCs w:val="26"/>
        </w:rPr>
        <w:t xml:space="preserve">Christophe Camus — Coordinateur préparation</w:t>
      </w:r>
    </w:p>
    <w:p>
      <w:pPr>
        <w:spacing w:after="110" w:line="274"/>
        <w:jc w:val="both"/>
      </w:pPr>
      <w:r>
        <w:rPr>
          <w:rFonts w:ascii="Arial" w:cs="Arial" w:eastAsia="Arial" w:hAnsi="Arial"/>
          <w:color w:val="1A2230"/>
          <w:sz w:val="21"/>
          <w:szCs w:val="21"/>
        </w:rPr>
        <w:t xml:space="preserve">Responsable de la </w:t>
      </w:r>
      <w:r>
        <w:rPr>
          <w:rFonts w:ascii="Arial" w:cs="Arial" w:eastAsia="Arial" w:hAnsi="Arial"/>
          <w:b/>
          <w:bCs/>
          <w:color w:val="1A2230"/>
          <w:sz w:val="21"/>
          <w:szCs w:val="21"/>
        </w:rPr>
        <w:t xml:space="preserve">préparation de commande de bout en bout</w:t>
      </w:r>
      <w:r>
        <w:rPr>
          <w:rFonts w:ascii="Arial" w:cs="Arial" w:eastAsia="Arial" w:hAnsi="Arial"/>
          <w:color w:val="1A2230"/>
          <w:sz w:val="21"/>
          <w:szCs w:val="21"/>
        </w:rPr>
        <w:t xml:space="preserve">, de la passation avec la cuisine jusqu'à des sacs 100 % conformes, dans une zone propre et une équipe encadrée. Rattaché à </w:t>
      </w:r>
      <w:r>
        <w:rPr>
          <w:rFonts w:ascii="Arial" w:cs="Arial" w:eastAsia="Arial" w:hAnsi="Arial"/>
          <w:b/>
          <w:bCs/>
          <w:color w:val="1A2230"/>
          <w:sz w:val="21"/>
          <w:szCs w:val="21"/>
        </w:rPr>
        <w:t xml:space="preserve">Thomas Le Saux</w:t>
      </w:r>
      <w:r>
        <w:rPr>
          <w:rFonts w:ascii="Arial" w:cs="Arial" w:eastAsia="Arial" w:hAnsi="Arial"/>
          <w:color w:val="1A2230"/>
          <w:sz w:val="21"/>
          <w:szCs w:val="21"/>
        </w:rPr>
        <w:t xml:space="preserve"> (responsable production &amp; préparation).</w:t>
      </w:r>
    </w:p>
    <w:p>
      <w:pPr>
        <w:pStyle w:val="ListParagraph"/>
        <w:numPr>
          <w:ilvl w:val="0"/>
          <w:numId w:val="2"/>
        </w:numPr>
        <w:spacing w:after="66" w:line="270"/>
        <w:jc w:val="both"/>
      </w:pPr>
      <w:r>
        <w:rPr>
          <w:rFonts w:ascii="Arial" w:cs="Arial" w:eastAsia="Arial" w:hAnsi="Arial"/>
          <w:color w:val="1A2230"/>
          <w:sz w:val="21"/>
          <w:szCs w:val="21"/>
        </w:rPr>
        <w:t xml:space="preserve">Passation cuisine → préparation : vérifier que tous les éléments prévus ont été produits, signer le transfert de responsabilité après contrôle.</w:t>
      </w:r>
    </w:p>
    <w:p>
      <w:pPr>
        <w:pStyle w:val="ListParagraph"/>
        <w:numPr>
          <w:ilvl w:val="0"/>
          <w:numId w:val="2"/>
        </w:numPr>
        <w:spacing w:after="66" w:line="270"/>
        <w:jc w:val="both"/>
      </w:pPr>
      <w:r>
        <w:rPr>
          <w:rFonts w:ascii="Arial" w:cs="Arial" w:eastAsia="Arial" w:hAnsi="Arial"/>
          <w:color w:val="1A2230"/>
          <w:sz w:val="21"/>
          <w:szCs w:val="21"/>
        </w:rPr>
        <w:t xml:space="preserve">Garantir que </w:t>
      </w:r>
      <w:r>
        <w:rPr>
          <w:rFonts w:ascii="Arial" w:cs="Arial" w:eastAsia="Arial" w:hAnsi="Arial"/>
          <w:b/>
          <w:bCs/>
          <w:color w:val="1A2230"/>
          <w:sz w:val="21"/>
          <w:szCs w:val="21"/>
        </w:rPr>
        <w:t xml:space="preserve">toutes les préparations, aux bonnes quantités et bons régimes, sont réalisées et terminées à temps</w:t>
      </w:r>
      <w:r>
        <w:rPr>
          <w:rFonts w:ascii="Arial" w:cs="Arial" w:eastAsia="Arial" w:hAnsi="Arial"/>
          <w:color w:val="1A2230"/>
          <w:sz w:val="21"/>
          <w:szCs w:val="21"/>
        </w:rPr>
        <w:t xml:space="preserve">.</w:t>
      </w:r>
    </w:p>
    <w:p>
      <w:pPr>
        <w:pStyle w:val="ListParagraph"/>
        <w:numPr>
          <w:ilvl w:val="0"/>
          <w:numId w:val="2"/>
        </w:numPr>
        <w:spacing w:after="66" w:line="270"/>
        <w:jc w:val="both"/>
      </w:pPr>
      <w:r>
        <w:rPr>
          <w:rFonts w:ascii="Arial" w:cs="Arial" w:eastAsia="Arial" w:hAnsi="Arial"/>
          <w:color w:val="1A2230"/>
          <w:sz w:val="21"/>
          <w:szCs w:val="21"/>
        </w:rPr>
        <w:t xml:space="preserve">Manager les équipiers de préparation (et les livreurs en session de prep) et </w:t>
      </w:r>
      <w:r>
        <w:rPr>
          <w:rFonts w:ascii="Arial" w:cs="Arial" w:eastAsia="Arial" w:hAnsi="Arial"/>
          <w:b/>
          <w:bCs/>
          <w:color w:val="1A2230"/>
          <w:sz w:val="21"/>
          <w:szCs w:val="21"/>
        </w:rPr>
        <w:t xml:space="preserve">s'assurer que leur productivité est respectée</w:t>
      </w:r>
      <w:r>
        <w:rPr>
          <w:rFonts w:ascii="Arial" w:cs="Arial" w:eastAsia="Arial" w:hAnsi="Arial"/>
          <w:color w:val="1A2230"/>
          <w:sz w:val="21"/>
          <w:szCs w:val="21"/>
        </w:rPr>
        <w:t xml:space="preserve">.</w:t>
      </w:r>
    </w:p>
    <w:p>
      <w:pPr>
        <w:pStyle w:val="ListParagraph"/>
        <w:numPr>
          <w:ilvl w:val="0"/>
          <w:numId w:val="2"/>
        </w:numPr>
        <w:spacing w:after="66" w:line="270"/>
        <w:jc w:val="both"/>
      </w:pPr>
      <w:r>
        <w:rPr>
          <w:rFonts w:ascii="Arial" w:cs="Arial" w:eastAsia="Arial" w:hAnsi="Arial"/>
          <w:color w:val="1A2230"/>
          <w:sz w:val="21"/>
          <w:szCs w:val="21"/>
        </w:rPr>
        <w:t xml:space="preserve">Assurer la </w:t>
      </w:r>
      <w:r>
        <w:rPr>
          <w:rFonts w:ascii="Arial" w:cs="Arial" w:eastAsia="Arial" w:hAnsi="Arial"/>
          <w:b/>
          <w:bCs/>
          <w:color w:val="1A2230"/>
          <w:sz w:val="21"/>
          <w:szCs w:val="21"/>
        </w:rPr>
        <w:t xml:space="preserve">gestion des stocks</w:t>
      </w:r>
      <w:r>
        <w:rPr>
          <w:rFonts w:ascii="Arial" w:cs="Arial" w:eastAsia="Arial" w:hAnsi="Arial"/>
          <w:color w:val="1A2230"/>
          <w:sz w:val="21"/>
          <w:szCs w:val="21"/>
        </w:rPr>
        <w:t xml:space="preserve"> (denrées, contenants, matériel), compter la casse et mettre à jour le tableau ; suivi des DLC.</w:t>
      </w:r>
    </w:p>
    <w:p>
      <w:pPr>
        <w:pStyle w:val="ListParagraph"/>
        <w:numPr>
          <w:ilvl w:val="0"/>
          <w:numId w:val="2"/>
        </w:numPr>
        <w:spacing w:after="66" w:line="270"/>
        <w:jc w:val="both"/>
      </w:pPr>
      <w:r>
        <w:rPr>
          <w:rFonts w:ascii="Arial" w:cs="Arial" w:eastAsia="Arial" w:hAnsi="Arial"/>
          <w:color w:val="1A2230"/>
          <w:sz w:val="21"/>
          <w:szCs w:val="21"/>
        </w:rPr>
        <w:t xml:space="preserve">Responsable de la zone produits finis et de toute la zone de préparation : rangement, nettoyage, hygiène.</w:t>
      </w:r>
    </w:p>
    <w:p>
      <w:pPr>
        <w:pStyle w:val="ListParagraph"/>
        <w:numPr>
          <w:ilvl w:val="0"/>
          <w:numId w:val="2"/>
        </w:numPr>
        <w:spacing w:after="66" w:line="270"/>
        <w:jc w:val="both"/>
      </w:pPr>
      <w:r>
        <w:rPr>
          <w:rFonts w:ascii="Arial" w:cs="Arial" w:eastAsia="Arial" w:hAnsi="Arial"/>
          <w:b/>
          <w:bCs/>
          <w:color w:val="1A2230"/>
          <w:sz w:val="21"/>
          <w:szCs w:val="21"/>
        </w:rPr>
        <w:t xml:space="preserve">Gérer les recrutements de son équipe</w:t>
      </w:r>
      <w:r>
        <w:rPr>
          <w:rFonts w:ascii="Arial" w:cs="Arial" w:eastAsia="Arial" w:hAnsi="Arial"/>
          <w:color w:val="1A2230"/>
          <w:sz w:val="21"/>
          <w:szCs w:val="21"/>
        </w:rPr>
        <w:t xml:space="preserve"> (besoins, entretiens, intégration), épaulé par son responsable (Thomas Le Saux).</w:t>
      </w:r>
    </w:p>
    <w:p>
      <w:pPr>
        <w:pStyle w:val="ListParagraph"/>
        <w:numPr>
          <w:ilvl w:val="0"/>
          <w:numId w:val="2"/>
        </w:numPr>
        <w:spacing w:after="66" w:line="270"/>
        <w:jc w:val="both"/>
      </w:pPr>
      <w:r>
        <w:rPr>
          <w:rFonts w:ascii="Arial" w:cs="Arial" w:eastAsia="Arial" w:hAnsi="Arial"/>
          <w:color w:val="1A2230"/>
          <w:sz w:val="21"/>
          <w:szCs w:val="21"/>
        </w:rPr>
        <w:t xml:space="preserve">Accueillir et former les nouveaux.</w:t>
      </w:r>
    </w:p>
    <w:p>
      <w:pPr>
        <w:pBdr>
          <w:bottom w:val="single" w:color="D8E2DA" w:sz="8" w:space="5"/>
        </w:pBdr>
        <w:spacing w:after="120" w:before="270"/>
      </w:pPr>
      <w:r>
        <w:rPr>
          <w:rFonts w:ascii="Arial" w:cs="Arial" w:eastAsia="Arial" w:hAnsi="Arial"/>
          <w:b/>
          <w:bCs/>
          <w:color w:val="1E7A46"/>
          <w:sz w:val="26"/>
          <w:szCs w:val="26"/>
        </w:rPr>
        <w:t xml:space="preserve">Charlotte Copsidas — Coordinatrice logistique</w:t>
      </w:r>
    </w:p>
    <w:p>
      <w:pPr>
        <w:spacing w:after="110" w:line="274"/>
        <w:jc w:val="both"/>
      </w:pPr>
      <w:r>
        <w:rPr>
          <w:rFonts w:ascii="Arial" w:cs="Arial" w:eastAsia="Arial" w:hAnsi="Arial"/>
          <w:color w:val="1A2230"/>
          <w:sz w:val="21"/>
          <w:szCs w:val="21"/>
        </w:rPr>
        <w:t xml:space="preserve">Responsable de la </w:t>
      </w:r>
      <w:r>
        <w:rPr>
          <w:rFonts w:ascii="Arial" w:cs="Arial" w:eastAsia="Arial" w:hAnsi="Arial"/>
          <w:b/>
          <w:bCs/>
          <w:color w:val="1A2230"/>
          <w:sz w:val="21"/>
          <w:szCs w:val="21"/>
        </w:rPr>
        <w:t xml:space="preserve">livraison et de la flotte</w:t>
      </w:r>
      <w:r>
        <w:rPr>
          <w:rFonts w:ascii="Arial" w:cs="Arial" w:eastAsia="Arial" w:hAnsi="Arial"/>
          <w:color w:val="1A2230"/>
          <w:sz w:val="21"/>
          <w:szCs w:val="21"/>
        </w:rPr>
        <w:t xml:space="preserve">. Elle garantit que </w:t>
      </w:r>
      <w:r>
        <w:rPr>
          <w:rFonts w:ascii="Arial" w:cs="Arial" w:eastAsia="Arial" w:hAnsi="Arial"/>
          <w:b/>
          <w:bCs/>
          <w:color w:val="1A2230"/>
          <w:sz w:val="21"/>
          <w:szCs w:val="21"/>
        </w:rPr>
        <w:t xml:space="preserve">toutes les livraisons sont effectuées en temps et en heure</w:t>
      </w:r>
      <w:r>
        <w:rPr>
          <w:rFonts w:ascii="Arial" w:cs="Arial" w:eastAsia="Arial" w:hAnsi="Arial"/>
          <w:color w:val="1A2230"/>
          <w:sz w:val="21"/>
          <w:szCs w:val="21"/>
        </w:rPr>
        <w:t xml:space="preserve">, pilote les véhicules, les équipements et les plannings, et rend compte chaque semaine. Rattachée à Thomas Le Saux (responsable production &amp; préparation).</w:t>
      </w:r>
    </w:p>
    <w:p>
      <w:pPr>
        <w:pStyle w:val="ListParagraph"/>
        <w:numPr>
          <w:ilvl w:val="0"/>
          <w:numId w:val="2"/>
        </w:numPr>
        <w:spacing w:after="66" w:line="270"/>
        <w:jc w:val="both"/>
      </w:pPr>
      <w:r>
        <w:rPr>
          <w:rFonts w:ascii="Arial" w:cs="Arial" w:eastAsia="Arial" w:hAnsi="Arial"/>
          <w:color w:val="1A2230"/>
          <w:sz w:val="21"/>
          <w:szCs w:val="21"/>
        </w:rPr>
        <w:t xml:space="preserve">Garantir que </w:t>
      </w:r>
      <w:r>
        <w:rPr>
          <w:rFonts w:ascii="Arial" w:cs="Arial" w:eastAsia="Arial" w:hAnsi="Arial"/>
          <w:b/>
          <w:bCs/>
          <w:color w:val="1A2230"/>
          <w:sz w:val="21"/>
          <w:szCs w:val="21"/>
        </w:rPr>
        <w:t xml:space="preserve">toutes les livraisons sont livrées en temps et en heure</w:t>
      </w:r>
      <w:r>
        <w:rPr>
          <w:rFonts w:ascii="Arial" w:cs="Arial" w:eastAsia="Arial" w:hAnsi="Arial"/>
          <w:color w:val="1A2230"/>
          <w:sz w:val="21"/>
          <w:szCs w:val="21"/>
        </w:rPr>
        <w:t xml:space="preserve"> : tournées Fleet, conformité des chargements et des BL, débrief quotidien des livreurs.</w:t>
      </w:r>
    </w:p>
    <w:p>
      <w:pPr>
        <w:pStyle w:val="ListParagraph"/>
        <w:numPr>
          <w:ilvl w:val="0"/>
          <w:numId w:val="2"/>
        </w:numPr>
        <w:spacing w:after="66" w:line="270"/>
        <w:jc w:val="both"/>
      </w:pPr>
      <w:r>
        <w:rPr>
          <w:rFonts w:ascii="Arial" w:cs="Arial" w:eastAsia="Arial" w:hAnsi="Arial"/>
          <w:color w:val="1A2230"/>
          <w:sz w:val="21"/>
          <w:szCs w:val="21"/>
        </w:rPr>
        <w:t xml:space="preserve">Garante du </w:t>
      </w:r>
      <w:r>
        <w:rPr>
          <w:rFonts w:ascii="Arial" w:cs="Arial" w:eastAsia="Arial" w:hAnsi="Arial"/>
          <w:b/>
          <w:bCs/>
          <w:color w:val="1A2230"/>
          <w:sz w:val="21"/>
          <w:szCs w:val="21"/>
        </w:rPr>
        <w:t xml:space="preserve">maintien de la chaîne du froid</w:t>
      </w:r>
      <w:r>
        <w:rPr>
          <w:rFonts w:ascii="Arial" w:cs="Arial" w:eastAsia="Arial" w:hAnsi="Arial"/>
          <w:color w:val="1A2230"/>
          <w:sz w:val="21"/>
          <w:szCs w:val="21"/>
        </w:rPr>
        <w:t xml:space="preserve"> (0–4 °C) jusque chez le client — denrées livrées à bonne température.</w:t>
      </w:r>
    </w:p>
    <w:p>
      <w:pPr>
        <w:pStyle w:val="ListParagraph"/>
        <w:numPr>
          <w:ilvl w:val="0"/>
          <w:numId w:val="2"/>
        </w:numPr>
        <w:spacing w:after="66" w:line="270"/>
        <w:jc w:val="both"/>
      </w:pPr>
      <w:r>
        <w:rPr>
          <w:rFonts w:ascii="Arial" w:cs="Arial" w:eastAsia="Arial" w:hAnsi="Arial"/>
          <w:color w:val="1A2230"/>
          <w:sz w:val="21"/>
          <w:szCs w:val="21"/>
        </w:rPr>
        <w:t xml:space="preserve">Manager les livreurs et </w:t>
      </w:r>
      <w:r>
        <w:rPr>
          <w:rFonts w:ascii="Arial" w:cs="Arial" w:eastAsia="Arial" w:hAnsi="Arial"/>
          <w:b/>
          <w:bCs/>
          <w:color w:val="1A2230"/>
          <w:sz w:val="21"/>
          <w:szCs w:val="21"/>
        </w:rPr>
        <w:t xml:space="preserve">veiller au respect de leur productivité</w:t>
      </w:r>
      <w:r>
        <w:rPr>
          <w:rFonts w:ascii="Arial" w:cs="Arial" w:eastAsia="Arial" w:hAnsi="Arial"/>
          <w:color w:val="1A2230"/>
          <w:sz w:val="21"/>
          <w:szCs w:val="21"/>
        </w:rPr>
        <w:t xml:space="preserve"> ; recevoir les retards (&gt;10 min) sur RH LOG et réorganiser les tournées.</w:t>
      </w:r>
    </w:p>
    <w:p>
      <w:pPr>
        <w:pStyle w:val="ListParagraph"/>
        <w:numPr>
          <w:ilvl w:val="0"/>
          <w:numId w:val="2"/>
        </w:numPr>
        <w:spacing w:after="66" w:line="270"/>
        <w:jc w:val="both"/>
      </w:pPr>
      <w:r>
        <w:rPr>
          <w:rFonts w:ascii="Arial" w:cs="Arial" w:eastAsia="Arial" w:hAnsi="Arial"/>
          <w:color w:val="1A2230"/>
          <w:sz w:val="21"/>
          <w:szCs w:val="21"/>
        </w:rPr>
        <w:t xml:space="preserve">Véhicules : </w:t>
      </w:r>
      <w:r>
        <w:rPr>
          <w:rFonts w:ascii="Arial" w:cs="Arial" w:eastAsia="Arial" w:hAnsi="Arial"/>
          <w:b/>
          <w:bCs/>
          <w:color w:val="1A2230"/>
          <w:sz w:val="21"/>
          <w:szCs w:val="21"/>
        </w:rPr>
        <w:t xml:space="preserve">veiller à l'état de tous les véhicules</w:t>
      </w:r>
      <w:r>
        <w:rPr>
          <w:rFonts w:ascii="Arial" w:cs="Arial" w:eastAsia="Arial" w:hAnsi="Arial"/>
          <w:color w:val="1A2230"/>
          <w:sz w:val="21"/>
          <w:szCs w:val="21"/>
        </w:rPr>
        <w:t xml:space="preserve"> (contrôles, propreté, journal de bord) et assurer le </w:t>
      </w:r>
      <w:r>
        <w:rPr>
          <w:rFonts w:ascii="Arial" w:cs="Arial" w:eastAsia="Arial" w:hAnsi="Arial"/>
          <w:b/>
          <w:bCs/>
          <w:color w:val="1A2230"/>
          <w:sz w:val="21"/>
          <w:szCs w:val="21"/>
        </w:rPr>
        <w:t xml:space="preserve">lien avec Le Petit Forestier</w:t>
      </w:r>
      <w:r>
        <w:rPr>
          <w:rFonts w:ascii="Arial" w:cs="Arial" w:eastAsia="Arial" w:hAnsi="Arial"/>
          <w:color w:val="1A2230"/>
          <w:sz w:val="21"/>
          <w:szCs w:val="21"/>
        </w:rPr>
        <w:t xml:space="preserve">.</w:t>
      </w:r>
    </w:p>
    <w:p>
      <w:pPr>
        <w:pStyle w:val="ListParagraph"/>
        <w:numPr>
          <w:ilvl w:val="0"/>
          <w:numId w:val="2"/>
        </w:numPr>
        <w:spacing w:after="66" w:line="270"/>
        <w:jc w:val="both"/>
      </w:pPr>
      <w:r>
        <w:rPr>
          <w:rFonts w:ascii="Arial" w:cs="Arial" w:eastAsia="Arial" w:hAnsi="Arial"/>
          <w:color w:val="1A2230"/>
          <w:sz w:val="21"/>
          <w:szCs w:val="21"/>
        </w:rPr>
        <w:t xml:space="preserve">Équipements : </w:t>
      </w:r>
      <w:r>
        <w:rPr>
          <w:rFonts w:ascii="Arial" w:cs="Arial" w:eastAsia="Arial" w:hAnsi="Arial"/>
          <w:b/>
          <w:bCs/>
          <w:color w:val="1A2230"/>
          <w:sz w:val="21"/>
          <w:szCs w:val="21"/>
        </w:rPr>
        <w:t xml:space="preserve">cartes Total, téléphones des livreurs, application Fleet/Fit et supports de téléphone dans les véhicules</w:t>
      </w:r>
      <w:r>
        <w:rPr>
          <w:rFonts w:ascii="Arial" w:cs="Arial" w:eastAsia="Arial" w:hAnsi="Arial"/>
          <w:color w:val="1A2230"/>
          <w:sz w:val="21"/>
          <w:szCs w:val="21"/>
        </w:rPr>
        <w:t xml:space="preserve">.</w:t>
      </w:r>
    </w:p>
    <w:p>
      <w:pPr>
        <w:pStyle w:val="ListParagraph"/>
        <w:numPr>
          <w:ilvl w:val="0"/>
          <w:numId w:val="2"/>
        </w:numPr>
        <w:spacing w:after="66" w:line="270"/>
        <w:jc w:val="both"/>
      </w:pPr>
      <w:r>
        <w:rPr>
          <w:rFonts w:ascii="Arial" w:cs="Arial" w:eastAsia="Arial" w:hAnsi="Arial"/>
          <w:color w:val="1A2230"/>
          <w:sz w:val="21"/>
          <w:szCs w:val="21"/>
        </w:rPr>
        <w:t xml:space="preserve">Plannings : </w:t>
      </w:r>
      <w:r>
        <w:rPr>
          <w:rFonts w:ascii="Arial" w:cs="Arial" w:eastAsia="Arial" w:hAnsi="Arial"/>
          <w:b/>
          <w:bCs/>
          <w:color w:val="1A2230"/>
          <w:sz w:val="21"/>
          <w:szCs w:val="21"/>
        </w:rPr>
        <w:t xml:space="preserve">gérer les plannings et anticiper les congés</w:t>
      </w:r>
      <w:r>
        <w:rPr>
          <w:rFonts w:ascii="Arial" w:cs="Arial" w:eastAsia="Arial" w:hAnsi="Arial"/>
          <w:color w:val="1A2230"/>
          <w:sz w:val="21"/>
          <w:szCs w:val="21"/>
        </w:rPr>
        <w:t xml:space="preserve">.</w:t>
      </w:r>
    </w:p>
    <w:p>
      <w:pPr>
        <w:pStyle w:val="ListParagraph"/>
        <w:numPr>
          <w:ilvl w:val="0"/>
          <w:numId w:val="2"/>
        </w:numPr>
        <w:spacing w:after="66" w:line="270"/>
        <w:jc w:val="both"/>
      </w:pPr>
      <w:r>
        <w:rPr>
          <w:rFonts w:ascii="Arial" w:cs="Arial" w:eastAsia="Arial" w:hAnsi="Arial"/>
          <w:b/>
          <w:bCs/>
          <w:color w:val="1A2230"/>
          <w:sz w:val="21"/>
          <w:szCs w:val="21"/>
        </w:rPr>
        <w:t xml:space="preserve">Gérer les recrutements de son équipe</w:t>
      </w:r>
      <w:r>
        <w:rPr>
          <w:rFonts w:ascii="Arial" w:cs="Arial" w:eastAsia="Arial" w:hAnsi="Arial"/>
          <w:color w:val="1A2230"/>
          <w:sz w:val="21"/>
          <w:szCs w:val="21"/>
        </w:rPr>
        <w:t xml:space="preserve"> (besoins, entretiens, intégration), épaulée par son responsable (Thomas Le Saux).</w:t>
      </w:r>
    </w:p>
    <w:p>
      <w:pPr>
        <w:pStyle w:val="ListParagraph"/>
        <w:numPr>
          <w:ilvl w:val="0"/>
          <w:numId w:val="2"/>
        </w:numPr>
        <w:spacing w:after="66" w:line="270"/>
        <w:jc w:val="both"/>
      </w:pPr>
      <w:r>
        <w:rPr>
          <w:rFonts w:ascii="Arial" w:cs="Arial" w:eastAsia="Arial" w:hAnsi="Arial"/>
          <w:b/>
          <w:bCs/>
          <w:color w:val="1A2230"/>
          <w:sz w:val="21"/>
          <w:szCs w:val="21"/>
        </w:rPr>
        <w:t xml:space="preserve">Reportings hebdomadaires</w:t>
      </w:r>
      <w:r>
        <w:rPr>
          <w:rFonts w:ascii="Arial" w:cs="Arial" w:eastAsia="Arial" w:hAnsi="Arial"/>
          <w:color w:val="1A2230"/>
          <w:sz w:val="21"/>
          <w:szCs w:val="21"/>
        </w:rPr>
        <w:t xml:space="preserve"> : utilisation des cartes Total, gestion des véhicules, gestion Combo (badgeages / heures).</w:t>
      </w:r>
    </w:p>
    <w:p>
      <w:pPr>
        <w:pBdr>
          <w:bottom w:val="single" w:color="D8E2DA" w:sz="8" w:space="5"/>
        </w:pBdr>
        <w:spacing w:after="120" w:before="270"/>
      </w:pPr>
      <w:r>
        <w:rPr>
          <w:rFonts w:ascii="Arial" w:cs="Arial" w:eastAsia="Arial" w:hAnsi="Arial"/>
          <w:b/>
          <w:bCs/>
          <w:color w:val="1E7A46"/>
          <w:sz w:val="26"/>
          <w:szCs w:val="26"/>
        </w:rPr>
        <w:t xml:space="preserve">Qui valide quoi</w:t>
      </w:r>
    </w:p>
    <w:p>
      <w:pPr>
        <w:spacing w:after="110" w:line="274"/>
        <w:jc w:val="both"/>
      </w:pPr>
      <w:r>
        <w:rPr>
          <w:rFonts w:ascii="Arial" w:cs="Arial" w:eastAsia="Arial" w:hAnsi="Arial"/>
          <w:color w:val="1A2230"/>
          <w:sz w:val="21"/>
          <w:szCs w:val="21"/>
        </w:rPr>
        <w:t xml:space="preserve">Le principe : </w:t>
      </w:r>
      <w:r>
        <w:rPr>
          <w:rFonts w:ascii="Arial" w:cs="Arial" w:eastAsia="Arial" w:hAnsi="Arial"/>
          <w:b/>
          <w:bCs/>
          <w:color w:val="1A2230"/>
          <w:sz w:val="21"/>
          <w:szCs w:val="21"/>
        </w:rPr>
        <w:t xml:space="preserve">ce n'est pas au salarié de décider qu'il a fini</w:t>
      </w:r>
      <w:r>
        <w:rPr>
          <w:rFonts w:ascii="Arial" w:cs="Arial" w:eastAsia="Arial" w:hAnsi="Arial"/>
          <w:color w:val="1A2230"/>
          <w:sz w:val="21"/>
          <w:szCs w:val="21"/>
        </w:rPr>
        <w:t xml:space="preserve">. Le départ est validé par le coordinateur du périmètre, qui veille aussi à la productivité des équipiers.</w:t>
      </w:r>
    </w:p>
    <w:p>
      <w:pPr>
        <w:pStyle w:val="ListParagraph"/>
        <w:numPr>
          <w:ilvl w:val="0"/>
          <w:numId w:val="2"/>
        </w:numPr>
        <w:spacing w:after="66" w:line="270"/>
        <w:jc w:val="both"/>
      </w:pPr>
      <w:r>
        <w:rPr>
          <w:rFonts w:ascii="Arial" w:cs="Arial" w:eastAsia="Arial" w:hAnsi="Arial"/>
          <w:color w:val="1A2230"/>
          <w:sz w:val="21"/>
          <w:szCs w:val="21"/>
        </w:rPr>
        <w:t xml:space="preserve">Départs et fin de poste </w:t>
      </w:r>
      <w:r>
        <w:rPr>
          <w:rFonts w:ascii="Arial" w:cs="Arial" w:eastAsia="Arial" w:hAnsi="Arial"/>
          <w:b/>
          <w:bCs/>
          <w:color w:val="1A2230"/>
          <w:sz w:val="21"/>
          <w:szCs w:val="21"/>
        </w:rPr>
        <w:t xml:space="preserve">côté préparation</w:t>
      </w:r>
      <w:r>
        <w:rPr>
          <w:rFonts w:ascii="Arial" w:cs="Arial" w:eastAsia="Arial" w:hAnsi="Arial"/>
          <w:color w:val="1A2230"/>
          <w:sz w:val="21"/>
          <w:szCs w:val="21"/>
        </w:rPr>
        <w:t xml:space="preserve"> → validés par Christophe.</w:t>
      </w:r>
    </w:p>
    <w:p>
      <w:pPr>
        <w:pStyle w:val="ListParagraph"/>
        <w:numPr>
          <w:ilvl w:val="0"/>
          <w:numId w:val="2"/>
        </w:numPr>
        <w:spacing w:after="66" w:line="270"/>
        <w:jc w:val="both"/>
      </w:pPr>
      <w:r>
        <w:rPr>
          <w:rFonts w:ascii="Arial" w:cs="Arial" w:eastAsia="Arial" w:hAnsi="Arial"/>
          <w:color w:val="1A2230"/>
          <w:sz w:val="21"/>
          <w:szCs w:val="21"/>
        </w:rPr>
        <w:t xml:space="preserve">Départs et fin de poste </w:t>
      </w:r>
      <w:r>
        <w:rPr>
          <w:rFonts w:ascii="Arial" w:cs="Arial" w:eastAsia="Arial" w:hAnsi="Arial"/>
          <w:b/>
          <w:bCs/>
          <w:color w:val="1A2230"/>
          <w:sz w:val="21"/>
          <w:szCs w:val="21"/>
        </w:rPr>
        <w:t xml:space="preserve">côté livraison</w:t>
      </w:r>
      <w:r>
        <w:rPr>
          <w:rFonts w:ascii="Arial" w:cs="Arial" w:eastAsia="Arial" w:hAnsi="Arial"/>
          <w:color w:val="1A2230"/>
          <w:sz w:val="21"/>
          <w:szCs w:val="21"/>
        </w:rPr>
        <w:t xml:space="preserve"> → validés par Charlotte.</w:t>
      </w:r>
    </w:p>
    <w:p>
      <w:pPr>
        <w:pStyle w:val="ListParagraph"/>
        <w:numPr>
          <w:ilvl w:val="0"/>
          <w:numId w:val="2"/>
        </w:numPr>
        <w:spacing w:after="66" w:line="270"/>
        <w:jc w:val="both"/>
      </w:pPr>
      <w:r>
        <w:rPr>
          <w:rFonts w:ascii="Arial" w:cs="Arial" w:eastAsia="Arial" w:hAnsi="Arial"/>
          <w:color w:val="1A2230"/>
          <w:sz w:val="21"/>
          <w:szCs w:val="21"/>
        </w:rPr>
        <w:t xml:space="preserve">Chacun </w:t>
      </w:r>
      <w:r>
        <w:rPr>
          <w:rFonts w:ascii="Arial" w:cs="Arial" w:eastAsia="Arial" w:hAnsi="Arial"/>
          <w:b/>
          <w:bCs/>
          <w:color w:val="1A2230"/>
          <w:sz w:val="21"/>
          <w:szCs w:val="21"/>
        </w:rPr>
        <w:t xml:space="preserve">gère les recrutements de son équipe</w:t>
      </w:r>
      <w:r>
        <w:rPr>
          <w:rFonts w:ascii="Arial" w:cs="Arial" w:eastAsia="Arial" w:hAnsi="Arial"/>
          <w:color w:val="1A2230"/>
          <w:sz w:val="21"/>
          <w:szCs w:val="21"/>
        </w:rPr>
        <w:t xml:space="preserve">, épaulé par Thomas Le Saux (besoins, entretiens, intégration).</w:t>
      </w:r>
    </w:p>
    <w:p>
      <w:pPr>
        <w:pStyle w:val="ListParagraph"/>
        <w:numPr>
          <w:ilvl w:val="0"/>
          <w:numId w:val="2"/>
        </w:numPr>
        <w:spacing w:after="66" w:line="270"/>
        <w:jc w:val="both"/>
      </w:pPr>
      <w:r>
        <w:rPr>
          <w:rFonts w:ascii="Arial" w:cs="Arial" w:eastAsia="Arial" w:hAnsi="Arial"/>
          <w:color w:val="1A2230"/>
          <w:sz w:val="21"/>
          <w:szCs w:val="21"/>
        </w:rPr>
        <w:t xml:space="preserve">Escalade : </w:t>
      </w:r>
      <w:r>
        <w:rPr>
          <w:rFonts w:ascii="Arial" w:cs="Arial" w:eastAsia="Arial" w:hAnsi="Arial"/>
          <w:b/>
          <w:bCs/>
          <w:color w:val="1A2230"/>
          <w:sz w:val="21"/>
          <w:szCs w:val="21"/>
        </w:rPr>
        <w:t xml:space="preserve">Christophe (préparation) et Charlotte (livraison) → Thomas Le Saux → Brice</w:t>
      </w:r>
      <w:r>
        <w:rPr>
          <w:rFonts w:ascii="Arial" w:cs="Arial" w:eastAsia="Arial" w:hAnsi="Arial"/>
          <w:color w:val="1A2230"/>
          <w:sz w:val="21"/>
          <w:szCs w:val="21"/>
        </w:rPr>
        <w:t xml:space="preserve">, puis la Direction. À escalader : disciplinaire, panne lourde, dérive budgétaire, incident client majeur.</w:t>
      </w:r>
    </w:p>
    <w:p>
      <w:pPr>
        <w:spacing w:before="100"/>
        <w:jc w:val="both"/>
      </w:pPr>
      <w:r>
        <w:rPr>
          <w:rFonts w:ascii="Arial" w:cs="Arial" w:eastAsia="Arial" w:hAnsi="Arial"/>
          <w:i/>
          <w:iCs/>
          <w:color w:val="6A746E"/>
          <w:sz w:val="19"/>
          <w:szCs w:val="19"/>
        </w:rPr>
        <w:t xml:space="preserve">Les deux coordinateurs appliquent les mêmes règles, de la même façon, sur tous les sites : c'est la condition pour qu'elles tiennent.</w:t>
      </w:r>
    </w:p>
    <w:sectPr>
      <w:headerReference w:type="default" r:id="rId7"/>
      <w:footerReference w:type="default" r:id="rId8"/>
      <w:pgSz w:w="11906" w:h="16838" w:orient="portrait"/>
      <w:pgMar w:top="1080" w:right="1160" w:bottom="1080" w:left="11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A746E"/>
        <w:sz w:val="15"/>
        <w:szCs w:val="15"/>
      </w:rPr>
      <w:t xml:space="preserve">Basil — document interne · organisation logistique · page </w:t>
    </w:r>
    <w:r>
      <w:rPr>
        <w:rFonts w:ascii="Arial" w:cs="Arial" w:eastAsia="Arial" w:hAnsi="Arial"/>
        <w:color w:val="6A746E"/>
        <w:sz w:val="15"/>
        <w:szCs w:val="15"/>
      </w:rPr>
      <w:fldChar w:fldCharType="begin"/>
      <w:instrText xml:space="preserve">PAGE</w:instrText>
      <w:fldChar w:fldCharType="separate"/>
      <w:fldChar w:fldCharType="end"/>
    </w:r>
    <w:r>
      <w:rPr>
        <w:rFonts w:ascii="Arial" w:cs="Arial" w:eastAsia="Arial" w:hAnsi="Arial"/>
        <w:color w:val="6A746E"/>
        <w:sz w:val="15"/>
        <w:szCs w:val="15"/>
      </w:rPr>
      <w:t xml:space="preserve"> / </w:t>
    </w:r>
    <w:r>
      <w:rPr>
        <w:rFonts w:ascii="Arial" w:cs="Arial" w:eastAsia="Arial" w:hAnsi="Arial"/>
        <w:color w:val="6A746E"/>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E7A46" w:sz="10" w:space="6"/>
      </w:pBdr>
      <w:tabs>
        <w:tab w:val="right" w:pos="9400"/>
      </w:tabs>
    </w:pPr>
    <w:r>
      <w:rPr>
        <w:rFonts w:ascii="Arial" w:cs="Arial" w:eastAsia="Arial" w:hAnsi="Arial"/>
        <w:b/>
        <w:bCs/>
        <w:color w:val="1E7A46"/>
        <w:sz w:val="22"/>
        <w:szCs w:val="22"/>
      </w:rPr>
      <w:t xml:space="preserve">BASIL</w:t>
    </w:r>
    <w:r>
      <w:rPr>
        <w:rFonts w:ascii="Arial" w:cs="Arial" w:eastAsia="Arial" w:hAnsi="Arial"/>
        <w:color w:val="6A746E"/>
        <w:sz w:val="17"/>
        <w:szCs w:val="17"/>
      </w:rPr>
      <w:t xml:space="preserve">	Organisation logistique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400" w:hanging="260"/>
      </w:pPr>
      <w:rPr>
        <w:b/>
        <w:bCs/>
        <w:color w:val="1E7A46"/>
      </w:rPr>
    </w:lvl>
  </w:abstractNum>
  <w:abstractNum w:abstractNumId="3" w15:restartNumberingAfterBreak="0">
    <w:multiLevelType w:val="hybridMultilevel"/>
    <w:lvl w:ilvl="0" w15:tentative="1">
      <w:start w:val="1"/>
      <w:numFmt w:val="decimal"/>
      <w:lvlText w:val="%1."/>
      <w:lvlJc w:val="left"/>
      <w:pPr>
        <w:ind w:left="400" w:hanging="260"/>
      </w:pPr>
      <w:rPr>
        <w:b/>
        <w:bCs/>
        <w:color w:val="1E7A46"/>
      </w:rPr>
    </w:lvl>
  </w:abstractNum>
  <w:abstractNum w:abstractNumId="4" w15:restartNumberingAfterBreak="0">
    <w:multiLevelType w:val="hybridMultilevel"/>
    <w:lvl w:ilvl="0" w15:tentative="1">
      <w:start w:val="1"/>
      <w:numFmt w:val="decimal"/>
      <w:lvlText w:val="%1."/>
      <w:lvlJc w:val="left"/>
      <w:pPr>
        <w:ind w:left="400" w:hanging="260"/>
      </w:pPr>
      <w:rPr>
        <w:b/>
        <w:bCs/>
        <w:color w:val="1E7A46"/>
      </w:rPr>
    </w:lvl>
  </w:abstractNum>
  <w:abstractNum w:abstractNumId="5" w15:restartNumberingAfterBreak="0">
    <w:multiLevelType w:val="hybridMultilevel"/>
    <w:lvl w:ilvl="0" w15:tentative="1">
      <w:start w:val="1"/>
      <w:numFmt w:val="decimal"/>
      <w:lvlText w:val="%1."/>
      <w:lvlJc w:val="left"/>
      <w:pPr>
        <w:ind w:left="400" w:hanging="260"/>
      </w:pPr>
      <w:rPr>
        <w:b/>
        <w:bCs/>
        <w:color w:val="1E7A46"/>
      </w:rPr>
    </w:lvl>
  </w:abstractNum>
  <w:abstractNum w:abstractNumId="6" w15:restartNumberingAfterBreak="0">
    <w:multiLevelType w:val="hybridMultilevel"/>
    <w:lvl w:ilvl="0" w15:tentative="1">
      <w:start w:val="1"/>
      <w:numFmt w:val="decimal"/>
      <w:lvlText w:val="%1."/>
      <w:lvlJc w:val="left"/>
      <w:pPr>
        <w:ind w:left="400" w:hanging="260"/>
      </w:pPr>
      <w:rPr>
        <w:b/>
        <w:bCs/>
        <w:color w:val="1E7A46"/>
      </w:rPr>
    </w:lvl>
  </w:abstractNum>
  <w:abstractNum w:abstractNumId="7" w15:restartNumberingAfterBreak="0">
    <w:multiLevelType w:val="hybridMultilevel"/>
    <w:lvl w:ilvl="0" w15:tentative="1">
      <w:start w:val="1"/>
      <w:numFmt w:val="decimal"/>
      <w:lvlText w:val="%1."/>
      <w:lvlJc w:val="left"/>
      <w:pPr>
        <w:ind w:left="400" w:hanging="260"/>
      </w:pPr>
      <w:rPr>
        <w:b/>
        <w:bCs/>
        <w:color w:val="1E7A46"/>
      </w:rPr>
    </w:lvl>
  </w:abstractNum>
  <w:abstractNum w:abstractNumId="8" w15:restartNumberingAfterBreak="0">
    <w:multiLevelType w:val="hybridMultilevel"/>
    <w:lvl w:ilvl="0" w15:tentative="1">
      <w:start w:val="1"/>
      <w:numFmt w:val="bullet"/>
      <w:lvlText w:val="•"/>
      <w:lvlJc w:val="left"/>
      <w:pPr>
        <w:ind w:left="360" w:hanging="200"/>
      </w:pPr>
      <w:rPr>
        <w:color w:val="1E7A46"/>
      </w:rPr>
    </w:lvl>
  </w:abstractNum>
  <w:num w:numId="1">
    <w:abstractNumId w:val="1"/>
    <w:lvlOverride w:ilvl="0">
      <w:startOverride w:val="1"/>
    </w:lvlOverride>
  </w:num>
  <w:num w:numId="2">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223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2026-08-10T10:23:54.687Z</dcterms:created>
  <dcterms:modified xsi:type="dcterms:W3CDTF">2026-08-10T10:23:54.689Z</dcterms:modified>
</cp:coreProperties>
</file>

<file path=docProps/custom.xml><?xml version="1.0" encoding="utf-8"?>
<Properties xmlns="http://schemas.openxmlformats.org/officeDocument/2006/custom-properties" xmlns:vt="http://schemas.openxmlformats.org/officeDocument/2006/docPropsVTypes"/>
</file>